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09028">
      <w:pPr>
        <w:spacing w:line="520" w:lineRule="exact"/>
        <w:rPr>
          <w:rFonts w:ascii="黑体" w:hAnsi="黑体" w:eastAsia="黑体"/>
          <w:shd w:val="clear" w:color="auto" w:fill="FFFFFF"/>
        </w:rPr>
      </w:pPr>
      <w:r>
        <w:rPr>
          <w:rFonts w:ascii="黑体" w:hAnsi="黑体" w:eastAsia="黑体"/>
          <w:shd w:val="clear" w:color="auto" w:fill="FFFFFF"/>
        </w:rPr>
        <w:t>附件</w:t>
      </w:r>
    </w:p>
    <w:p w14:paraId="1B92AB33">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恩平市应急管理局202</w:t>
      </w:r>
      <w:r>
        <w:rPr>
          <w:rFonts w:hint="eastAsia" w:ascii="方正小标宋简体" w:eastAsia="方正小标宋简体"/>
          <w:sz w:val="44"/>
          <w:szCs w:val="44"/>
          <w:lang w:val="en-US" w:eastAsia="zh-CN"/>
        </w:rPr>
        <w:t>5</w:t>
      </w:r>
      <w:r>
        <w:rPr>
          <w:rFonts w:hint="eastAsia" w:ascii="方正小标宋简体" w:eastAsia="方正小标宋简体"/>
          <w:sz w:val="44"/>
          <w:szCs w:val="44"/>
        </w:rPr>
        <w:t>年度</w:t>
      </w:r>
    </w:p>
    <w:p w14:paraId="08370EE6">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安全生产监督检查计划</w:t>
      </w:r>
    </w:p>
    <w:p w14:paraId="3BF4E685">
      <w:pPr>
        <w:spacing w:line="560" w:lineRule="exact"/>
      </w:pPr>
    </w:p>
    <w:p w14:paraId="4552D1F9">
      <w:pPr>
        <w:spacing w:line="560" w:lineRule="exact"/>
        <w:ind w:firstLine="640" w:firstLineChars="200"/>
      </w:pPr>
      <w:r>
        <w:rPr>
          <w:rFonts w:hint="eastAsia"/>
        </w:rPr>
        <w:t>为确保全面依法履行安全生产监督管理职责，进一步规范安全生产监督检查行为、提升监督检查效能，</w:t>
      </w:r>
      <w:r>
        <w:rPr>
          <w:rFonts w:hint="eastAsia" w:ascii="仿宋_GB2312" w:hAnsi="仿宋_GB2312" w:eastAsia="仿宋_GB2312" w:cs="仿宋_GB2312"/>
          <w:kern w:val="0"/>
          <w:sz w:val="32"/>
          <w:szCs w:val="32"/>
        </w:rPr>
        <w:t>确保我市安全生产形势稳定向好</w:t>
      </w:r>
      <w:r>
        <w:rPr>
          <w:rFonts w:hint="eastAsia" w:ascii="仿宋_GB2312" w:hAnsi="仿宋_GB2312" w:cs="仿宋_GB2312"/>
          <w:kern w:val="0"/>
          <w:sz w:val="32"/>
          <w:szCs w:val="32"/>
          <w:lang w:eastAsia="zh-CN"/>
        </w:rPr>
        <w:t>，</w:t>
      </w:r>
      <w:r>
        <w:t>根据《</w:t>
      </w:r>
      <w:r>
        <w:rPr>
          <w:rFonts w:hint="eastAsia"/>
        </w:rPr>
        <w:t>中华人民共和国</w:t>
      </w:r>
      <w:r>
        <w:t>安全生产法》《广东省安全生产条例》</w:t>
      </w:r>
      <w:r>
        <w:rPr>
          <w:rFonts w:hint="eastAsia" w:ascii="仿宋_GB2312" w:hAnsi="仿宋_GB2312" w:eastAsia="仿宋_GB2312" w:cs="仿宋_GB2312"/>
          <w:kern w:val="0"/>
          <w:sz w:val="32"/>
          <w:szCs w:val="32"/>
        </w:rPr>
        <w:t>《应急管理行政执法人员依法履职管理规定》</w:t>
      </w:r>
      <w:r>
        <w:t>《安全生产监管监察职责和行政执法责任追究的规定》</w:t>
      </w:r>
      <w:r>
        <w:rPr>
          <w:rFonts w:hint="eastAsia"/>
          <w:lang w:val="en-US" w:eastAsia="zh-CN"/>
        </w:rPr>
        <w:t>和</w:t>
      </w:r>
      <w:r>
        <w:t>《安全生产年度监督检查计划编制办法》（安监总政法函〔2017〕150号）</w:t>
      </w:r>
      <w:r>
        <w:rPr>
          <w:rFonts w:hint="eastAsia" w:ascii="仿宋_GB2312" w:hAnsi="仿宋_GB2312" w:eastAsia="仿宋_GB2312" w:cs="仿宋_GB2312"/>
          <w:kern w:val="0"/>
          <w:sz w:val="32"/>
          <w:szCs w:val="32"/>
        </w:rPr>
        <w:t>以及《广东省应急管理系统安全生产分类分级行政执法暂行办法》（粤应急规〔2021〕4号）等规定</w:t>
      </w:r>
      <w:r>
        <w:t>，特编制恩平市应急管理局202</w:t>
      </w:r>
      <w:r>
        <w:rPr>
          <w:rFonts w:hint="eastAsia"/>
          <w:lang w:val="en-US" w:eastAsia="zh-CN"/>
        </w:rPr>
        <w:t>5</w:t>
      </w:r>
      <w:r>
        <w:t>年度安全生产监督检查计划。</w:t>
      </w:r>
    </w:p>
    <w:p w14:paraId="1B39E92C">
      <w:pPr>
        <w:spacing w:line="560" w:lineRule="exact"/>
        <w:ind w:firstLine="640" w:firstLineChars="200"/>
        <w:rPr>
          <w:rFonts w:ascii="黑体" w:hAnsi="黑体" w:eastAsia="黑体"/>
        </w:rPr>
      </w:pPr>
      <w:r>
        <w:rPr>
          <w:rFonts w:ascii="黑体" w:hAnsi="黑体" w:eastAsia="黑体"/>
        </w:rPr>
        <w:t>一、指导思想</w:t>
      </w:r>
    </w:p>
    <w:p w14:paraId="41B3E879">
      <w:pPr>
        <w:spacing w:line="560" w:lineRule="exact"/>
        <w:ind w:firstLine="640" w:firstLineChars="200"/>
      </w:pPr>
      <w:r>
        <w:rPr>
          <w:rFonts w:hint="eastAsia"/>
          <w:lang w:eastAsia="zh-CN"/>
        </w:rPr>
        <w:t>坚持以习近平新时代中国特色社会主义思想为指导，深入学习贯彻党的二十大精神和习近平总书记关于安全生产重要论述和指示批示精神，落实党中央、国务院关于安全生产的决策部署和省委、省政府的工作要求，坚持人民至上、生命至上，树牢安全发展理念，按照“统筹兼顾、突出重点、精准监管、提高效能”的原则，依法严厉查处安全生产非法违法行为，督促企业落实安全生产主体责任，着力防范化解重大安全风险，坚决遏制较大生产安全事故、减少一般事故，</w:t>
      </w:r>
      <w:r>
        <w:rPr>
          <w:rFonts w:hint="eastAsia"/>
          <w:lang w:val="en-US" w:eastAsia="zh-CN"/>
        </w:rPr>
        <w:t>为</w:t>
      </w:r>
      <w:r>
        <w:rPr>
          <w:rFonts w:hint="eastAsia"/>
          <w:lang w:eastAsia="zh-CN"/>
        </w:rPr>
        <w:t>我市安全生产形势的持续稳定好转提供可靠保障。</w:t>
      </w:r>
    </w:p>
    <w:p w14:paraId="6FBDB17F">
      <w:pPr>
        <w:spacing w:line="560" w:lineRule="exact"/>
        <w:ind w:firstLine="640" w:firstLineChars="200"/>
        <w:rPr>
          <w:rFonts w:ascii="黑体" w:hAnsi="黑体" w:eastAsia="黑体"/>
        </w:rPr>
      </w:pPr>
      <w:r>
        <w:rPr>
          <w:rFonts w:ascii="黑体" w:hAnsi="黑体" w:eastAsia="黑体"/>
        </w:rPr>
        <w:t>二、工作目标和主要任务</w:t>
      </w:r>
    </w:p>
    <w:p w14:paraId="5CBF96C3">
      <w:pPr>
        <w:spacing w:line="560" w:lineRule="exact"/>
        <w:ind w:firstLine="640" w:firstLineChars="200"/>
      </w:pPr>
      <w:r>
        <w:rPr>
          <w:rFonts w:hint="eastAsia"/>
        </w:rPr>
        <w:t>根据辖区内行业领域安全风险状况、企业规模、执法难度以及安全生产执法能力水平等实际情况，按照坚持属地管理、科学分类、动态管理以及镇街综合行政执法、县级业务主管部门业务指导的原则，</w:t>
      </w:r>
      <w:r>
        <w:t>通过编制202</w:t>
      </w:r>
      <w:r>
        <w:rPr>
          <w:rFonts w:hint="eastAsia"/>
          <w:lang w:val="en-US" w:eastAsia="zh-CN"/>
        </w:rPr>
        <w:t>5</w:t>
      </w:r>
      <w:r>
        <w:t>年度监督检查计划，指导局内负有安全生产监督检查职责的内设机构，按照职责分工会同镇（街）对有关生产经营单位遵守《安全生产法》《广东省安全生产条例》等法律、法规、规章和标准情况进行监督检查，规范安全生产监督检查时间、程序、对象、内容和重点，避免监督检查缺位、错位。</w:t>
      </w:r>
      <w:r>
        <w:rPr>
          <w:rFonts w:hint="eastAsia"/>
          <w:lang w:eastAsia="zh-CN"/>
        </w:rPr>
        <w:t>全面、严格实施安全生产监督检查</w:t>
      </w:r>
      <w:r>
        <w:rPr>
          <w:rFonts w:hint="eastAsia"/>
        </w:rPr>
        <w:t>“双随机</w:t>
      </w:r>
      <w:r>
        <w:rPr>
          <w:rFonts w:hint="eastAsia"/>
          <w:lang w:eastAsia="zh-CN"/>
        </w:rPr>
        <w:t>、</w:t>
      </w:r>
      <w:r>
        <w:rPr>
          <w:rFonts w:hint="eastAsia"/>
        </w:rPr>
        <w:t>一公开”</w:t>
      </w:r>
      <w:r>
        <w:rPr>
          <w:rFonts w:hint="eastAsia"/>
          <w:lang w:eastAsia="zh-CN"/>
        </w:rPr>
        <w:t>机制</w:t>
      </w:r>
      <w:r>
        <w:rPr>
          <w:rFonts w:hint="eastAsia"/>
        </w:rPr>
        <w:t>，</w:t>
      </w:r>
      <w:r>
        <w:rPr>
          <w:rFonts w:hint="eastAsia"/>
          <w:lang w:eastAsia="zh-CN"/>
        </w:rPr>
        <w:t>做到严厉</w:t>
      </w:r>
      <w:r>
        <w:rPr>
          <w:rFonts w:hint="eastAsia"/>
        </w:rPr>
        <w:t>打击安全生产</w:t>
      </w:r>
      <w:r>
        <w:rPr>
          <w:rFonts w:hint="eastAsia"/>
          <w:lang w:eastAsia="zh-CN"/>
        </w:rPr>
        <w:t>非法违法</w:t>
      </w:r>
      <w:r>
        <w:rPr>
          <w:rFonts w:hint="eastAsia"/>
        </w:rPr>
        <w:t>生产经营</w:t>
      </w:r>
      <w:r>
        <w:rPr>
          <w:rFonts w:hint="eastAsia"/>
          <w:lang w:eastAsia="zh-CN"/>
        </w:rPr>
        <w:t>活动</w:t>
      </w:r>
      <w:r>
        <w:rPr>
          <w:rFonts w:hint="eastAsia"/>
        </w:rPr>
        <w:t>，及时消除事故隐患</w:t>
      </w:r>
      <w:r>
        <w:rPr>
          <w:rFonts w:hint="eastAsia"/>
          <w:lang w:eastAsia="zh-CN"/>
        </w:rPr>
        <w:t>；进一步</w:t>
      </w:r>
      <w:r>
        <w:rPr>
          <w:rFonts w:hint="eastAsia"/>
        </w:rPr>
        <w:t>监督和保障应急管理行政执法人员依法履职尽责，加大监督检查力度，坚持依法从严处罚；</w:t>
      </w:r>
      <w:r>
        <w:rPr>
          <w:rFonts w:hint="eastAsia"/>
          <w:lang w:eastAsia="zh-CN"/>
        </w:rPr>
        <w:t>进一步</w:t>
      </w:r>
      <w:r>
        <w:rPr>
          <w:rFonts w:hint="eastAsia"/>
        </w:rPr>
        <w:t>激励新时代新担当新作为，改进监督检查方式，切实提升执法效能；</w:t>
      </w:r>
      <w:r>
        <w:rPr>
          <w:rFonts w:hint="eastAsia"/>
          <w:lang w:eastAsia="zh-CN"/>
        </w:rPr>
        <w:t>进一步</w:t>
      </w:r>
      <w:r>
        <w:rPr>
          <w:rFonts w:hint="eastAsia"/>
        </w:rPr>
        <w:t>规范监督检查行为，</w:t>
      </w:r>
      <w:r>
        <w:rPr>
          <w:rFonts w:hint="eastAsia"/>
          <w:lang w:eastAsia="zh-CN"/>
        </w:rPr>
        <w:t>加强</w:t>
      </w:r>
      <w:r>
        <w:rPr>
          <w:rFonts w:hint="eastAsia"/>
        </w:rPr>
        <w:t>闭环管理</w:t>
      </w:r>
      <w:r>
        <w:rPr>
          <w:rFonts w:hint="eastAsia"/>
          <w:lang w:eastAsia="zh-CN"/>
        </w:rPr>
        <w:t>，</w:t>
      </w:r>
      <w:r>
        <w:rPr>
          <w:rFonts w:hint="eastAsia"/>
        </w:rPr>
        <w:t>充分发挥执法处罚在遏制事故中的“杀手锏”作用，督促</w:t>
      </w:r>
      <w:r>
        <w:rPr>
          <w:rFonts w:hint="eastAsia"/>
          <w:lang w:eastAsia="zh-CN"/>
        </w:rPr>
        <w:t>生产经营单位</w:t>
      </w:r>
      <w:r>
        <w:rPr>
          <w:rFonts w:hint="eastAsia"/>
        </w:rPr>
        <w:t>落实安全生产主体责任，</w:t>
      </w:r>
      <w:r>
        <w:rPr>
          <w:rFonts w:hint="eastAsia"/>
          <w:lang w:eastAsia="zh-CN"/>
        </w:rPr>
        <w:t>坚决防范和遏制较大生产安全事故发生</w:t>
      </w:r>
      <w:r>
        <w:rPr>
          <w:rFonts w:hint="eastAsia"/>
        </w:rPr>
        <w:t>。</w:t>
      </w:r>
    </w:p>
    <w:p w14:paraId="6AF66764">
      <w:pPr>
        <w:spacing w:line="560" w:lineRule="exact"/>
        <w:ind w:firstLine="640" w:firstLineChars="200"/>
        <w:rPr>
          <w:rFonts w:ascii="黑体" w:hAnsi="黑体" w:eastAsia="黑体"/>
        </w:rPr>
      </w:pPr>
      <w:r>
        <w:rPr>
          <w:rFonts w:ascii="黑体" w:hAnsi="黑体" w:eastAsia="黑体"/>
        </w:rPr>
        <w:t>三、行政执法人员数量和执法工作日测算</w:t>
      </w:r>
    </w:p>
    <w:p w14:paraId="0186ED83">
      <w:pPr>
        <w:spacing w:line="560" w:lineRule="exact"/>
        <w:ind w:firstLine="640" w:firstLineChars="200"/>
        <w:rPr>
          <w:rFonts w:ascii="楷体_GB2312" w:eastAsia="楷体_GB2312"/>
        </w:rPr>
      </w:pPr>
      <w:r>
        <w:rPr>
          <w:rFonts w:hint="eastAsia" w:ascii="楷体_GB2312" w:eastAsia="楷体_GB2312"/>
        </w:rPr>
        <w:t>（一）行政执法人员数量。</w:t>
      </w:r>
    </w:p>
    <w:p w14:paraId="029009E2">
      <w:pPr>
        <w:spacing w:line="560" w:lineRule="exact"/>
        <w:ind w:firstLine="640" w:firstLineChars="200"/>
      </w:pPr>
      <w:r>
        <w:t>恩平市应急管理局负有安全生产监督检查职责的内设机构执法人员数量为</w:t>
      </w:r>
      <w:r>
        <w:rPr>
          <w:rFonts w:hint="eastAsia"/>
          <w:lang w:val="en-US" w:eastAsia="zh-CN"/>
        </w:rPr>
        <w:t>7</w:t>
      </w:r>
      <w:r>
        <w:t>人，核定纳入202</w:t>
      </w:r>
      <w:r>
        <w:rPr>
          <w:rFonts w:hint="eastAsia"/>
          <w:lang w:val="en-US" w:eastAsia="zh-CN"/>
        </w:rPr>
        <w:t>5</w:t>
      </w:r>
      <w:r>
        <w:t>年度执法工作日计算的执法人员为</w:t>
      </w:r>
      <w:r>
        <w:rPr>
          <w:rFonts w:hint="eastAsia"/>
          <w:lang w:val="en-US" w:eastAsia="zh-CN"/>
        </w:rPr>
        <w:t>7</w:t>
      </w:r>
      <w:r>
        <w:t>人，其中：危险化学品安全监管股2人、安全生产基础股</w:t>
      </w:r>
      <w:r>
        <w:rPr>
          <w:rFonts w:hint="eastAsia"/>
          <w:lang w:val="en-US" w:eastAsia="zh-CN"/>
        </w:rPr>
        <w:t>3</w:t>
      </w:r>
      <w:r>
        <w:t>人和综合协调股</w:t>
      </w:r>
      <w:r>
        <w:rPr>
          <w:rFonts w:hint="eastAsia"/>
          <w:lang w:val="en-US" w:eastAsia="zh-CN"/>
        </w:rPr>
        <w:t>2</w:t>
      </w:r>
      <w:r>
        <w:t>人。</w:t>
      </w:r>
    </w:p>
    <w:p w14:paraId="728C422D">
      <w:pPr>
        <w:spacing w:line="560" w:lineRule="exact"/>
        <w:ind w:firstLine="640" w:firstLineChars="200"/>
        <w:rPr>
          <w:rFonts w:ascii="楷体_GB2312" w:eastAsia="楷体_GB2312"/>
        </w:rPr>
      </w:pPr>
      <w:r>
        <w:rPr>
          <w:rFonts w:ascii="楷体_GB2312" w:eastAsia="楷体_GB2312"/>
        </w:rPr>
        <w:t>（二）执法工作日测算。</w:t>
      </w:r>
    </w:p>
    <w:p w14:paraId="68B4D383">
      <w:pPr>
        <w:spacing w:line="560" w:lineRule="exact"/>
        <w:ind w:firstLine="640" w:firstLineChars="200"/>
      </w:pPr>
      <w:r>
        <w:t>1.</w:t>
      </w:r>
      <w:r>
        <w:rPr>
          <w:rFonts w:hint="eastAsia"/>
        </w:rPr>
        <w:t xml:space="preserve"> </w:t>
      </w:r>
      <w:r>
        <w:rPr>
          <w:b/>
          <w:bCs/>
        </w:rPr>
        <w:t>总法定工作日。</w:t>
      </w:r>
      <w:r>
        <w:rPr>
          <w:rFonts w:hint="eastAsia"/>
        </w:rPr>
        <w:t>202</w:t>
      </w:r>
      <w:r>
        <w:rPr>
          <w:rFonts w:hint="eastAsia"/>
          <w:lang w:val="en-US" w:eastAsia="zh-CN"/>
        </w:rPr>
        <w:t>5</w:t>
      </w:r>
      <w:r>
        <w:rPr>
          <w:rFonts w:hint="eastAsia"/>
        </w:rPr>
        <w:t>年全年共有365天、52周，1</w:t>
      </w:r>
      <w:r>
        <w:rPr>
          <w:rFonts w:hint="eastAsia"/>
          <w:lang w:val="en-US" w:eastAsia="zh-CN"/>
        </w:rPr>
        <w:t>3</w:t>
      </w:r>
      <w:r>
        <w:rPr>
          <w:rFonts w:hint="eastAsia"/>
        </w:rPr>
        <w:t>天法定节假日。国家法定工作日=365天-52周×2天/周-1</w:t>
      </w:r>
      <w:r>
        <w:rPr>
          <w:rFonts w:hint="eastAsia"/>
          <w:lang w:val="en-US" w:eastAsia="zh-CN"/>
        </w:rPr>
        <w:t>3</w:t>
      </w:r>
      <w:r>
        <w:rPr>
          <w:rFonts w:hint="eastAsia"/>
        </w:rPr>
        <w:t>天=2</w:t>
      </w:r>
      <w:r>
        <w:rPr>
          <w:rFonts w:hint="eastAsia"/>
          <w:lang w:val="en-US" w:eastAsia="zh-CN"/>
        </w:rPr>
        <w:t>48</w:t>
      </w:r>
      <w:r>
        <w:rPr>
          <w:rFonts w:hint="eastAsia"/>
        </w:rPr>
        <w:t>天</w:t>
      </w:r>
      <w:r>
        <w:t>。</w:t>
      </w:r>
    </w:p>
    <w:p w14:paraId="01E30D77">
      <w:pPr>
        <w:spacing w:line="560" w:lineRule="exact"/>
        <w:ind w:firstLine="640" w:firstLineChars="200"/>
      </w:pPr>
      <w:r>
        <w:t>总法定工作日=国家法定工作日（</w:t>
      </w:r>
      <w:r>
        <w:rPr>
          <w:rFonts w:hint="eastAsia"/>
          <w:lang w:val="en-US" w:eastAsia="zh-CN"/>
        </w:rPr>
        <w:t>248</w:t>
      </w:r>
      <w:r>
        <w:t>）×执法人员数量（</w:t>
      </w:r>
      <w:r>
        <w:rPr>
          <w:rFonts w:hint="eastAsia"/>
          <w:lang w:val="en-US" w:eastAsia="zh-CN"/>
        </w:rPr>
        <w:t>7</w:t>
      </w:r>
      <w:r>
        <w:t>）=</w:t>
      </w:r>
      <w:r>
        <w:rPr>
          <w:rFonts w:hint="eastAsia"/>
          <w:lang w:val="en-US" w:eastAsia="zh-CN"/>
        </w:rPr>
        <w:t>1736</w:t>
      </w:r>
      <w:r>
        <w:t>天。</w:t>
      </w:r>
    </w:p>
    <w:p w14:paraId="4DE9C3E4">
      <w:pPr>
        <w:spacing w:line="560" w:lineRule="exact"/>
        <w:ind w:firstLine="640" w:firstLineChars="200"/>
      </w:pPr>
      <w:r>
        <w:t>其中：危险化学品安全监管股</w:t>
      </w:r>
      <w:r>
        <w:rPr>
          <w:rFonts w:hint="eastAsia"/>
          <w:lang w:val="en-US" w:eastAsia="zh-CN"/>
        </w:rPr>
        <w:t>496</w:t>
      </w:r>
      <w:r>
        <w:t>天、安全生产基础股</w:t>
      </w:r>
      <w:r>
        <w:rPr>
          <w:rFonts w:hint="eastAsia"/>
          <w:lang w:val="en-US" w:eastAsia="zh-CN"/>
        </w:rPr>
        <w:t>744</w:t>
      </w:r>
      <w:r>
        <w:t>天、综合协调股</w:t>
      </w:r>
      <w:r>
        <w:rPr>
          <w:rFonts w:hint="eastAsia"/>
          <w:lang w:val="en-US" w:eastAsia="zh-CN"/>
        </w:rPr>
        <w:t>496</w:t>
      </w:r>
      <w:r>
        <w:t>天。</w:t>
      </w:r>
    </w:p>
    <w:p w14:paraId="5A63F60F">
      <w:pPr>
        <w:spacing w:line="560" w:lineRule="exact"/>
        <w:ind w:firstLine="640" w:firstLineChars="200"/>
      </w:pPr>
      <w:r>
        <w:t>2.</w:t>
      </w:r>
      <w:r>
        <w:rPr>
          <w:rFonts w:hint="eastAsia"/>
        </w:rPr>
        <w:t xml:space="preserve"> </w:t>
      </w:r>
      <w:r>
        <w:rPr>
          <w:rFonts w:ascii="Times New Roman" w:hAnsi="Times New Roman" w:cs="Times New Roman"/>
          <w:b/>
          <w:bCs/>
        </w:rPr>
        <w:t>其他执法工作日。</w:t>
      </w:r>
      <w:r>
        <w:rPr>
          <w:rFonts w:hint="eastAsia"/>
        </w:rPr>
        <w:t>包括开展安全生产综合监管；实施行政许可；组织生产安全事故调查和处理；调查核实安全生产投诉举报；参加有关部门联合执法；办理有关法律、法规、规章规定的登记、备案；开展安全生产宣传教育培训；办理行政复议、行政应诉；完成本级人民政府或者上级应急管理部门安排的执法工作任务预计所占用的工作日</w:t>
      </w:r>
      <w:r>
        <w:t>。</w:t>
      </w:r>
    </w:p>
    <w:p w14:paraId="4B119543">
      <w:pPr>
        <w:spacing w:line="560" w:lineRule="exact"/>
        <w:ind w:firstLine="640" w:firstLineChars="200"/>
        <w:rPr>
          <w:color w:val="auto"/>
        </w:rPr>
      </w:pPr>
      <w:r>
        <w:rPr>
          <w:color w:val="auto"/>
        </w:rPr>
        <w:t>参照前三年统计平均数，</w:t>
      </w:r>
      <w:r>
        <w:rPr>
          <w:rFonts w:hint="eastAsia"/>
          <w:color w:val="auto"/>
          <w:lang w:val="en-US" w:eastAsia="zh-CN"/>
        </w:rPr>
        <w:t>结合2025年度工作要求，</w:t>
      </w:r>
      <w:r>
        <w:rPr>
          <w:color w:val="auto"/>
        </w:rPr>
        <w:t>测算202</w:t>
      </w:r>
      <w:r>
        <w:rPr>
          <w:rFonts w:hint="eastAsia"/>
          <w:color w:val="auto"/>
          <w:lang w:val="en-US" w:eastAsia="zh-CN"/>
        </w:rPr>
        <w:t>5</w:t>
      </w:r>
      <w:r>
        <w:rPr>
          <w:color w:val="auto"/>
        </w:rPr>
        <w:t>年度其他执法工作日为</w:t>
      </w:r>
      <w:r>
        <w:rPr>
          <w:rFonts w:hint="eastAsia"/>
          <w:color w:val="auto"/>
          <w:lang w:val="en-US" w:eastAsia="zh-CN"/>
        </w:rPr>
        <w:t>722</w:t>
      </w:r>
      <w:r>
        <w:rPr>
          <w:color w:val="auto"/>
        </w:rPr>
        <w:t>天。</w:t>
      </w:r>
    </w:p>
    <w:p w14:paraId="74CC347E">
      <w:pPr>
        <w:spacing w:line="560" w:lineRule="exact"/>
        <w:ind w:firstLine="640" w:firstLineChars="200"/>
        <w:rPr>
          <w:color w:val="auto"/>
          <w:highlight w:val="none"/>
        </w:rPr>
      </w:pPr>
      <w:r>
        <w:rPr>
          <w:color w:val="auto"/>
          <w:highlight w:val="none"/>
        </w:rPr>
        <w:t>其中：危险化学品安全监管股</w:t>
      </w:r>
      <w:r>
        <w:rPr>
          <w:rFonts w:hint="eastAsia"/>
          <w:color w:val="auto"/>
          <w:highlight w:val="none"/>
          <w:lang w:val="en-US" w:eastAsia="zh-CN"/>
        </w:rPr>
        <w:t>160</w:t>
      </w:r>
      <w:r>
        <w:rPr>
          <w:color w:val="auto"/>
          <w:highlight w:val="none"/>
        </w:rPr>
        <w:t>天、安全生产基础股</w:t>
      </w:r>
      <w:r>
        <w:rPr>
          <w:rFonts w:hint="eastAsia"/>
          <w:color w:val="auto"/>
          <w:highlight w:val="none"/>
          <w:lang w:val="en-US" w:eastAsia="zh-CN"/>
        </w:rPr>
        <w:t>272</w:t>
      </w:r>
      <w:r>
        <w:rPr>
          <w:color w:val="auto"/>
          <w:highlight w:val="none"/>
        </w:rPr>
        <w:t>天、综合协调股</w:t>
      </w:r>
      <w:r>
        <w:rPr>
          <w:rFonts w:hint="eastAsia"/>
          <w:color w:val="auto"/>
          <w:highlight w:val="none"/>
          <w:lang w:val="en-US" w:eastAsia="zh-CN"/>
        </w:rPr>
        <w:t>290</w:t>
      </w:r>
      <w:r>
        <w:rPr>
          <w:color w:val="auto"/>
          <w:highlight w:val="none"/>
        </w:rPr>
        <w:t>天。</w:t>
      </w:r>
    </w:p>
    <w:p w14:paraId="5A4A4380">
      <w:pPr>
        <w:spacing w:line="560" w:lineRule="exact"/>
        <w:ind w:firstLine="640" w:firstLineChars="200"/>
      </w:pPr>
      <w:r>
        <w:t>3.</w:t>
      </w:r>
      <w:r>
        <w:rPr>
          <w:rFonts w:hint="eastAsia"/>
        </w:rPr>
        <w:t xml:space="preserve"> </w:t>
      </w:r>
      <w:r>
        <w:rPr>
          <w:rFonts w:ascii="Times New Roman" w:hAnsi="Times New Roman" w:cs="Times New Roman"/>
          <w:b/>
          <w:bCs/>
        </w:rPr>
        <w:t>非执法工作日。</w:t>
      </w:r>
      <w:r>
        <w:rPr>
          <w:rFonts w:hint="eastAsia" w:ascii="仿宋_GB2312" w:hAnsi="仿宋_GB2312" w:eastAsia="仿宋_GB2312" w:cs="仿宋_GB2312"/>
          <w:kern w:val="0"/>
          <w:sz w:val="32"/>
          <w:szCs w:val="32"/>
        </w:rPr>
        <w:t>包括参加机关值班、学习、培训、考核、会议、检查指导下级应急管理部门工作、参加党群活动、病假、事假、法定年休假、探亲假、婚（丧）假等工作预计所占用的工作日</w:t>
      </w:r>
      <w:r>
        <w:t>。</w:t>
      </w:r>
    </w:p>
    <w:p w14:paraId="305A2B69">
      <w:pPr>
        <w:spacing w:line="560" w:lineRule="exact"/>
        <w:ind w:firstLine="640" w:firstLineChars="200"/>
      </w:pPr>
      <w:r>
        <w:t>参照前三年统计平均数，</w:t>
      </w:r>
      <w:r>
        <w:rPr>
          <w:rFonts w:hint="eastAsia"/>
          <w:color w:val="auto"/>
          <w:lang w:val="en-US" w:eastAsia="zh-CN"/>
        </w:rPr>
        <w:t>结合2025年度工作要求，</w:t>
      </w:r>
      <w:r>
        <w:t>测算202</w:t>
      </w:r>
      <w:r>
        <w:rPr>
          <w:rFonts w:hint="eastAsia"/>
          <w:lang w:val="en-US" w:eastAsia="zh-CN"/>
        </w:rPr>
        <w:t>5</w:t>
      </w:r>
      <w:r>
        <w:t>年度非执法工作日为</w:t>
      </w:r>
      <w:r>
        <w:rPr>
          <w:rFonts w:hint="eastAsia"/>
          <w:lang w:val="en-US" w:eastAsia="zh-CN"/>
        </w:rPr>
        <w:t>650</w:t>
      </w:r>
      <w:r>
        <w:t>天。</w:t>
      </w:r>
    </w:p>
    <w:p w14:paraId="7FF27B7E">
      <w:pPr>
        <w:spacing w:line="560" w:lineRule="exact"/>
        <w:ind w:firstLine="640" w:firstLineChars="200"/>
        <w:rPr>
          <w:highlight w:val="none"/>
        </w:rPr>
      </w:pPr>
      <w:r>
        <w:rPr>
          <w:highlight w:val="none"/>
        </w:rPr>
        <w:t>其中：危险化学品安全监管股</w:t>
      </w:r>
      <w:r>
        <w:rPr>
          <w:rFonts w:hint="eastAsia"/>
          <w:highlight w:val="none"/>
          <w:lang w:val="en-US" w:eastAsia="zh-CN"/>
        </w:rPr>
        <w:t>186</w:t>
      </w:r>
      <w:r>
        <w:rPr>
          <w:highlight w:val="none"/>
        </w:rPr>
        <w:t>天、安全生产基础股</w:t>
      </w:r>
      <w:r>
        <w:rPr>
          <w:rFonts w:hint="eastAsia"/>
          <w:highlight w:val="none"/>
          <w:lang w:val="en-US" w:eastAsia="zh-CN"/>
        </w:rPr>
        <w:t>258</w:t>
      </w:r>
      <w:r>
        <w:rPr>
          <w:highlight w:val="none"/>
        </w:rPr>
        <w:t>天、综合协调股</w:t>
      </w:r>
      <w:r>
        <w:rPr>
          <w:rFonts w:hint="eastAsia"/>
          <w:highlight w:val="none"/>
          <w:lang w:val="en-US" w:eastAsia="zh-CN"/>
        </w:rPr>
        <w:t>206</w:t>
      </w:r>
      <w:r>
        <w:rPr>
          <w:highlight w:val="none"/>
        </w:rPr>
        <w:t>天。</w:t>
      </w:r>
    </w:p>
    <w:p w14:paraId="367B3ECE">
      <w:pPr>
        <w:spacing w:line="560" w:lineRule="exact"/>
        <w:ind w:firstLine="640" w:firstLineChars="200"/>
      </w:pPr>
      <w:r>
        <w:t>4.</w:t>
      </w:r>
      <w:r>
        <w:rPr>
          <w:rFonts w:hint="eastAsia"/>
        </w:rPr>
        <w:t xml:space="preserve"> </w:t>
      </w:r>
      <w:r>
        <w:rPr>
          <w:rFonts w:ascii="Times New Roman" w:hAnsi="Times New Roman" w:cs="Times New Roman"/>
          <w:b/>
          <w:bCs/>
        </w:rPr>
        <w:t>监督检查工作日。</w:t>
      </w:r>
      <w:r>
        <w:t>监督检查工作日=总法定工作日（</w:t>
      </w:r>
      <w:r>
        <w:rPr>
          <w:rFonts w:hint="eastAsia"/>
          <w:lang w:val="en-US" w:eastAsia="zh-CN"/>
        </w:rPr>
        <w:t>1736</w:t>
      </w:r>
      <w:r>
        <w:t>）－其他行政执法工作日（</w:t>
      </w:r>
      <w:r>
        <w:rPr>
          <w:rFonts w:hint="eastAsia"/>
          <w:lang w:val="en-US" w:eastAsia="zh-CN"/>
        </w:rPr>
        <w:t>722</w:t>
      </w:r>
      <w:r>
        <w:t>）－非行政执法工作日（</w:t>
      </w:r>
      <w:r>
        <w:rPr>
          <w:rFonts w:hint="eastAsia"/>
          <w:lang w:val="en-US" w:eastAsia="zh-CN"/>
        </w:rPr>
        <w:t>650</w:t>
      </w:r>
      <w:r>
        <w:t>）=</w:t>
      </w:r>
      <w:r>
        <w:rPr>
          <w:rFonts w:hint="eastAsia"/>
          <w:lang w:val="en-US" w:eastAsia="zh-CN"/>
        </w:rPr>
        <w:t>364</w:t>
      </w:r>
      <w:r>
        <w:t>天。</w:t>
      </w:r>
    </w:p>
    <w:p w14:paraId="5AFB09AF">
      <w:pPr>
        <w:spacing w:line="560" w:lineRule="exact"/>
      </w:pPr>
      <w:r>
        <w:t>     其中：危险化学品安全监管股</w:t>
      </w:r>
      <w:r>
        <w:rPr>
          <w:rFonts w:hint="eastAsia"/>
          <w:lang w:val="en-US" w:eastAsia="zh-CN"/>
        </w:rPr>
        <w:t>150</w:t>
      </w:r>
      <w:r>
        <w:t>天、安全生产基础股</w:t>
      </w:r>
      <w:r>
        <w:rPr>
          <w:rFonts w:hint="eastAsia"/>
          <w:lang w:val="en-US" w:eastAsia="zh-CN"/>
        </w:rPr>
        <w:t>214</w:t>
      </w:r>
      <w:r>
        <w:t>天、综合协调股0天。</w:t>
      </w:r>
    </w:p>
    <w:p w14:paraId="10D67CF2">
      <w:pPr>
        <w:jc w:val="left"/>
        <w:rPr>
          <w:rFonts w:ascii="黑体" w:hAnsi="黑体" w:eastAsia="黑体"/>
        </w:rPr>
      </w:pPr>
      <w:r>
        <w:rPr>
          <w:rFonts w:ascii="黑体" w:hAnsi="黑体" w:eastAsia="黑体"/>
        </w:rPr>
        <w:t>四、监督检查计划安排</w:t>
      </w:r>
    </w:p>
    <w:p w14:paraId="6747FC0C">
      <w:pPr>
        <w:spacing w:line="560" w:lineRule="exact"/>
        <w:ind w:firstLine="640" w:firstLineChars="200"/>
      </w:pPr>
      <w:r>
        <w:t>根据年度工作安排，结合</w:t>
      </w:r>
      <w:r>
        <w:rPr>
          <w:rFonts w:hint="eastAsia" w:ascii="仿宋_GB2312" w:hAnsi="仿宋_GB2312" w:cs="仿宋_GB2312"/>
          <w:kern w:val="0"/>
        </w:rPr>
        <w:t>安全生产分类分级行政执法规定以及</w:t>
      </w:r>
      <w:r>
        <w:t>本市行业领域的分布状况和安全生产特点，我局拟在202</w:t>
      </w:r>
      <w:r>
        <w:rPr>
          <w:rFonts w:hint="eastAsia"/>
          <w:lang w:val="en-US" w:eastAsia="zh-CN"/>
        </w:rPr>
        <w:t>5</w:t>
      </w:r>
      <w:r>
        <w:t>年开展</w:t>
      </w:r>
      <w:r>
        <w:rPr>
          <w:rFonts w:hint="eastAsia"/>
          <w:highlight w:val="none"/>
          <w:lang w:val="en-US" w:eastAsia="zh-CN"/>
        </w:rPr>
        <w:t>12</w:t>
      </w:r>
      <w:r>
        <w:rPr>
          <w:highlight w:val="none"/>
        </w:rPr>
        <w:t>项重点</w:t>
      </w:r>
      <w:r>
        <w:t>检查项目</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highlight w:val="none"/>
          <w:lang w:eastAsia="zh-CN"/>
        </w:rPr>
        <w:t>共</w:t>
      </w:r>
      <w:r>
        <w:rPr>
          <w:rFonts w:hint="eastAsia" w:cs="仿宋_GB2312"/>
          <w:color w:val="000000" w:themeColor="text1"/>
          <w:sz w:val="32"/>
          <w:szCs w:val="32"/>
          <w:highlight w:val="none"/>
          <w:lang w:val="en-US" w:eastAsia="zh-CN"/>
          <w14:textFill>
            <w14:solidFill>
              <w14:schemeClr w14:val="tx1"/>
            </w14:solidFill>
          </w14:textFill>
        </w:rPr>
        <w:t>52</w:t>
      </w:r>
      <w:r>
        <w:rPr>
          <w:rFonts w:hint="eastAsia" w:ascii="Times New Roman" w:hAnsi="Times New Roman" w:eastAsia="仿宋_GB2312" w:cs="仿宋_GB2312"/>
          <w:color w:val="auto"/>
          <w:sz w:val="32"/>
          <w:szCs w:val="32"/>
          <w:highlight w:val="none"/>
          <w:lang w:val="en-US" w:eastAsia="zh-CN"/>
        </w:rPr>
        <w:t>家企业</w:t>
      </w:r>
      <w:r>
        <w:rPr>
          <w:rFonts w:hint="eastAsia" w:ascii="Times New Roman" w:hAnsi="Times New Roman" w:eastAsia="仿宋_GB2312" w:cs="仿宋_GB2312"/>
          <w:color w:val="auto"/>
          <w:sz w:val="32"/>
          <w:szCs w:val="32"/>
          <w:lang w:val="en-US" w:eastAsia="zh-CN"/>
        </w:rPr>
        <w:t>，名单见附件2</w:t>
      </w:r>
      <w:r>
        <w:rPr>
          <w:rFonts w:hint="eastAsia" w:ascii="Times New Roman" w:hAnsi="Times New Roman" w:eastAsia="仿宋_GB2312" w:cs="仿宋_GB2312"/>
          <w:color w:val="auto"/>
          <w:sz w:val="32"/>
          <w:szCs w:val="32"/>
          <w:lang w:eastAsia="zh-CN"/>
        </w:rPr>
        <w:t>）</w:t>
      </w:r>
      <w:r>
        <w:t>。具体如下：</w:t>
      </w:r>
    </w:p>
    <w:p w14:paraId="3E1A0E90">
      <w:pPr>
        <w:numPr>
          <w:ilvl w:val="0"/>
          <w:numId w:val="1"/>
        </w:numPr>
        <w:spacing w:line="560" w:lineRule="exact"/>
        <w:ind w:firstLine="640" w:firstLineChars="200"/>
        <w:rPr>
          <w:rFonts w:hint="eastAsia"/>
          <w:lang w:val="en-US" w:eastAsia="zh-CN"/>
        </w:rPr>
      </w:pPr>
      <w:r>
        <w:rPr>
          <w:rFonts w:hint="eastAsia" w:ascii="楷体_GB2312" w:eastAsia="楷体_GB2312"/>
        </w:rPr>
        <w:t>重点检查。</w:t>
      </w:r>
    </w:p>
    <w:p w14:paraId="278FD2F4">
      <w:pPr>
        <w:numPr>
          <w:ilvl w:val="0"/>
          <w:numId w:val="0"/>
        </w:numPr>
        <w:spacing w:line="560" w:lineRule="exact"/>
        <w:ind w:firstLine="643" w:firstLineChars="200"/>
        <w:rPr>
          <w:rFonts w:hint="eastAsia"/>
          <w:b/>
          <w:bCs/>
          <w:lang w:val="en-US" w:eastAsia="zh-CN"/>
        </w:rPr>
      </w:pPr>
      <w:r>
        <w:rPr>
          <w:rFonts w:hint="eastAsia" w:ascii="楷体_GB2312" w:eastAsia="楷体_GB2312"/>
          <w:b/>
          <w:bCs/>
          <w:lang w:val="en-US" w:eastAsia="zh-CN"/>
        </w:rPr>
        <w:t>1.</w:t>
      </w:r>
      <w:r>
        <w:rPr>
          <w:rFonts w:hint="eastAsia"/>
          <w:b/>
          <w:bCs/>
          <w:lang w:val="en-US" w:eastAsia="zh-CN"/>
        </w:rPr>
        <w:t>“厂中厂”企业安全生产监督检查（6家）</w:t>
      </w:r>
    </w:p>
    <w:p w14:paraId="3FE0F063">
      <w:pPr>
        <w:spacing w:line="560" w:lineRule="exact"/>
        <w:ind w:firstLine="640" w:firstLineChars="20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重点区域：大槐镇、东成镇、恩城街道。</w:t>
      </w:r>
    </w:p>
    <w:p w14:paraId="592C1635">
      <w:pPr>
        <w:spacing w:line="560" w:lineRule="exact"/>
        <w:ind w:firstLine="640" w:firstLineChars="200"/>
        <w:rPr>
          <w:rFonts w:hint="eastAsia"/>
          <w:color w:val="000000" w:themeColor="text1"/>
          <w:lang w:val="en-US" w:eastAsia="zh-CN"/>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6</w:t>
      </w:r>
      <w:r>
        <w:rPr>
          <w:rFonts w:hint="eastAsia" w:ascii="Times New Roman" w:hAnsi="Times New Roman" w:eastAsia="仿宋_GB2312" w:cs="仿宋_GB2312"/>
          <w:color w:val="auto"/>
          <w:sz w:val="32"/>
          <w:szCs w:val="32"/>
          <w:lang w:val="en-US" w:eastAsia="zh-CN"/>
        </w:rPr>
        <w:t>家</w:t>
      </w:r>
    </w:p>
    <w:p w14:paraId="6DEDBAD4">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检查方式：定向检查。</w:t>
      </w:r>
    </w:p>
    <w:p w14:paraId="50A4A096">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计划</w:t>
      </w:r>
      <w:r>
        <w:rPr>
          <w:rFonts w:hint="eastAsia"/>
          <w:color w:val="000000" w:themeColor="text1"/>
          <w:lang w:val="en-US" w:eastAsia="zh-CN"/>
          <w14:textFill>
            <w14:solidFill>
              <w14:schemeClr w14:val="tx1"/>
            </w14:solidFill>
          </w14:textFill>
        </w:rPr>
        <w:t>检</w:t>
      </w:r>
      <w:r>
        <w:rPr>
          <w:color w:val="000000" w:themeColor="text1"/>
          <w14:textFill>
            <w14:solidFill>
              <w14:schemeClr w14:val="tx1"/>
            </w14:solidFill>
          </w14:textFill>
        </w:rPr>
        <w:t>查次数：1次。</w:t>
      </w:r>
    </w:p>
    <w:p w14:paraId="46872FE0">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负责股室：安全生产基础股。</w:t>
      </w:r>
    </w:p>
    <w:p w14:paraId="1556B470">
      <w:pPr>
        <w:spacing w:line="560" w:lineRule="exact"/>
        <w:ind w:firstLine="640" w:firstLineChars="200"/>
        <w:rPr>
          <w:rFonts w:hint="eastAsia"/>
          <w:color w:val="000000" w:themeColor="text1"/>
          <w:kern w:val="0"/>
          <w:lang w:val="en-US" w:eastAsia="zh-CN"/>
          <w14:textFill>
            <w14:solidFill>
              <w14:schemeClr w14:val="tx1"/>
            </w14:solidFill>
          </w14:textFill>
        </w:rPr>
      </w:pPr>
      <w:r>
        <w:rPr>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年12月30日前。</w:t>
      </w:r>
    </w:p>
    <w:p w14:paraId="0C3C0FDD">
      <w:pPr>
        <w:spacing w:line="560" w:lineRule="exact"/>
        <w:ind w:firstLine="643"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2.</w:t>
      </w:r>
      <w:r>
        <w:rPr>
          <w:rFonts w:hint="eastAsia"/>
          <w:b/>
          <w:bCs/>
          <w:color w:val="000000" w:themeColor="text1"/>
          <w:lang w:val="en-US" w:eastAsia="zh-CN"/>
          <w14:textFill>
            <w14:solidFill>
              <w14:schemeClr w14:val="tx1"/>
            </w14:solidFill>
          </w14:textFill>
        </w:rPr>
        <w:t>金属冶炼</w:t>
      </w:r>
      <w:r>
        <w:rPr>
          <w:rFonts w:hint="eastAsia"/>
          <w:b/>
          <w:bCs/>
          <w:color w:val="000000" w:themeColor="text1"/>
          <w14:textFill>
            <w14:solidFill>
              <w14:schemeClr w14:val="tx1"/>
            </w14:solidFill>
          </w14:textFill>
        </w:rPr>
        <w:t>（铸造）企业</w:t>
      </w:r>
      <w:r>
        <w:rPr>
          <w:b/>
          <w:bCs/>
          <w:color w:val="000000" w:themeColor="text1"/>
          <w14:textFill>
            <w14:solidFill>
              <w14:schemeClr w14:val="tx1"/>
            </w14:solidFill>
          </w14:textFill>
        </w:rPr>
        <w:t>安全生产监督检查（</w:t>
      </w: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家）。</w:t>
      </w:r>
    </w:p>
    <w:p w14:paraId="25D68698">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重点区域：</w:t>
      </w:r>
      <w:r>
        <w:rPr>
          <w:rFonts w:hint="eastAsia"/>
          <w:color w:val="000000" w:themeColor="text1"/>
          <w:lang w:eastAsia="zh-CN"/>
          <w14:textFill>
            <w14:solidFill>
              <w14:schemeClr w14:val="tx1"/>
            </w14:solidFill>
          </w14:textFill>
        </w:rPr>
        <w:t>大槐镇。</w:t>
      </w:r>
    </w:p>
    <w:p w14:paraId="4CF21C53">
      <w:pPr>
        <w:spacing w:line="560" w:lineRule="exact"/>
        <w:ind w:firstLine="640" w:firstLineChars="200"/>
        <w:rPr>
          <w:color w:val="000000" w:themeColor="text1"/>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1</w:t>
      </w:r>
      <w:r>
        <w:rPr>
          <w:rFonts w:hint="eastAsia" w:ascii="Times New Roman" w:hAnsi="Times New Roman" w:eastAsia="仿宋_GB2312" w:cs="仿宋_GB2312"/>
          <w:color w:val="auto"/>
          <w:sz w:val="32"/>
          <w:szCs w:val="32"/>
          <w:lang w:val="en-US" w:eastAsia="zh-CN"/>
        </w:rPr>
        <w:t>家</w:t>
      </w:r>
    </w:p>
    <w:p w14:paraId="3CCD39C7">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检查方式：定向检查、双随机抽查。</w:t>
      </w:r>
    </w:p>
    <w:p w14:paraId="54099F47">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计划抽查次数：</w:t>
      </w: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次。</w:t>
      </w:r>
    </w:p>
    <w:p w14:paraId="3660EFD8">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负责股室：安全生产基础股。</w:t>
      </w:r>
    </w:p>
    <w:p w14:paraId="268FEB0F">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年12月30日前。</w:t>
      </w:r>
    </w:p>
    <w:p w14:paraId="4FE76F34">
      <w:pPr>
        <w:ind w:firstLine="643" w:firstLineChars="200"/>
        <w:rPr>
          <w:rFonts w:hint="eastAsia"/>
          <w:color w:val="000000" w:themeColor="text1"/>
          <w14:textFill>
            <w14:solidFill>
              <w14:schemeClr w14:val="tx1"/>
            </w14:solidFill>
          </w14:textFill>
        </w:rPr>
      </w:pPr>
      <w:r>
        <w:rPr>
          <w:rFonts w:hint="eastAsia"/>
          <w:b/>
          <w:bCs/>
          <w:color w:val="000000" w:themeColor="text1"/>
          <w14:textFill>
            <w14:solidFill>
              <w14:schemeClr w14:val="tx1"/>
            </w14:solidFill>
          </w14:textFill>
        </w:rPr>
        <w:t>3.机械制造企业安全生产监督检查（</w:t>
      </w:r>
      <w:r>
        <w:rPr>
          <w:rFonts w:hint="eastAsia"/>
          <w:b/>
          <w:bCs/>
          <w:color w:val="000000" w:themeColor="text1"/>
          <w:lang w:val="en-US" w:eastAsia="zh-CN"/>
          <w14:textFill>
            <w14:solidFill>
              <w14:schemeClr w14:val="tx1"/>
            </w14:solidFill>
          </w14:textFill>
        </w:rPr>
        <w:t>6</w:t>
      </w:r>
      <w:r>
        <w:rPr>
          <w:rFonts w:hint="eastAsia"/>
          <w:b/>
          <w:bCs/>
          <w:color w:val="000000" w:themeColor="text1"/>
          <w14:textFill>
            <w14:solidFill>
              <w14:schemeClr w14:val="tx1"/>
            </w14:solidFill>
          </w14:textFill>
        </w:rPr>
        <w:t>家）</w:t>
      </w:r>
    </w:p>
    <w:p w14:paraId="10BEA82B">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重点区域：</w:t>
      </w:r>
      <w:r>
        <w:rPr>
          <w:rFonts w:hint="eastAsia"/>
          <w:color w:val="000000" w:themeColor="text1"/>
          <w:lang w:eastAsia="zh-CN"/>
          <w14:textFill>
            <w14:solidFill>
              <w14:schemeClr w14:val="tx1"/>
            </w14:solidFill>
          </w14:textFill>
        </w:rPr>
        <w:t>大槐镇</w:t>
      </w:r>
      <w:r>
        <w:rPr>
          <w:rFonts w:hint="eastAsia"/>
          <w:color w:val="000000" w:themeColor="text1"/>
          <w14:textFill>
            <w14:solidFill>
              <w14:schemeClr w14:val="tx1"/>
            </w14:solidFill>
          </w14:textFill>
        </w:rPr>
        <w:t>。</w:t>
      </w:r>
    </w:p>
    <w:p w14:paraId="5DABCA4C">
      <w:pPr>
        <w:ind w:firstLine="640" w:firstLineChars="200"/>
        <w:rPr>
          <w:rFonts w:hint="eastAsia"/>
          <w:color w:val="000000" w:themeColor="text1"/>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6</w:t>
      </w:r>
      <w:r>
        <w:rPr>
          <w:rFonts w:hint="eastAsia" w:ascii="Times New Roman" w:hAnsi="Times New Roman" w:eastAsia="仿宋_GB2312" w:cs="仿宋_GB2312"/>
          <w:color w:val="auto"/>
          <w:sz w:val="32"/>
          <w:szCs w:val="32"/>
          <w:lang w:val="en-US" w:eastAsia="zh-CN"/>
        </w:rPr>
        <w:t>家</w:t>
      </w:r>
    </w:p>
    <w:p w14:paraId="61B7FFA0">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检查方式：双随机抽查、定向检查。</w:t>
      </w:r>
    </w:p>
    <w:p w14:paraId="689E0A07">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计划抽查次数：1次。</w:t>
      </w:r>
    </w:p>
    <w:p w14:paraId="6AD00CC9">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负责股室：安全生产基础股。</w:t>
      </w:r>
    </w:p>
    <w:p w14:paraId="467C98FE">
      <w:pPr>
        <w:ind w:firstLine="640" w:firstLineChars="200"/>
        <w:rPr>
          <w:color w:val="0000FF"/>
        </w:rPr>
      </w:pPr>
      <w:r>
        <w:rPr>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年12月30日前。</w:t>
      </w:r>
    </w:p>
    <w:p w14:paraId="2C2D64F7">
      <w:pPr>
        <w:spacing w:line="560" w:lineRule="exact"/>
        <w:ind w:firstLine="643"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4.</w:t>
      </w:r>
      <w:r>
        <w:rPr>
          <w:b/>
          <w:color w:val="000000" w:themeColor="text1"/>
          <w14:textFill>
            <w14:solidFill>
              <w14:schemeClr w14:val="tx1"/>
            </w14:solidFill>
          </w14:textFill>
        </w:rPr>
        <w:t>粉尘涉爆企业安全生产监督检查（</w:t>
      </w:r>
      <w:r>
        <w:rPr>
          <w:rFonts w:hint="eastAsia"/>
          <w:b/>
          <w:color w:val="000000" w:themeColor="text1"/>
          <w:lang w:val="en-US" w:eastAsia="zh-CN"/>
          <w14:textFill>
            <w14:solidFill>
              <w14:schemeClr w14:val="tx1"/>
            </w14:solidFill>
          </w14:textFill>
        </w:rPr>
        <w:t>6</w:t>
      </w:r>
      <w:r>
        <w:rPr>
          <w:b/>
          <w:color w:val="000000" w:themeColor="text1"/>
          <w14:textFill>
            <w14:solidFill>
              <w14:schemeClr w14:val="tx1"/>
            </w14:solidFill>
          </w14:textFill>
        </w:rPr>
        <w:t>家）。</w:t>
      </w:r>
    </w:p>
    <w:p w14:paraId="5399F563">
      <w:pPr>
        <w:widowControl/>
        <w:spacing w:line="560" w:lineRule="exact"/>
        <w:ind w:right="-320" w:rightChars="-100" w:firstLine="640" w:firstLineChars="200"/>
        <w:rPr>
          <w:rFonts w:hint="eastAsia"/>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重点区域：</w:t>
      </w:r>
      <w:r>
        <w:rPr>
          <w:rFonts w:hint="eastAsia"/>
          <w:color w:val="000000" w:themeColor="text1"/>
          <w:kern w:val="0"/>
          <w:lang w:val="en-US" w:eastAsia="zh-CN"/>
          <w14:textFill>
            <w14:solidFill>
              <w14:schemeClr w14:val="tx1"/>
            </w14:solidFill>
          </w14:textFill>
        </w:rPr>
        <w:t>东成镇</w:t>
      </w:r>
      <w:r>
        <w:rPr>
          <w:rFonts w:hint="eastAsia"/>
          <w:color w:val="000000" w:themeColor="text1"/>
          <w:kern w:val="0"/>
          <w:lang w:eastAsia="zh-CN"/>
          <w14:textFill>
            <w14:solidFill>
              <w14:schemeClr w14:val="tx1"/>
            </w14:solidFill>
          </w14:textFill>
        </w:rPr>
        <w:t>、</w:t>
      </w:r>
      <w:r>
        <w:rPr>
          <w:rFonts w:hint="eastAsia"/>
          <w:color w:val="000000" w:themeColor="text1"/>
          <w:kern w:val="0"/>
          <w:lang w:val="en-US" w:eastAsia="zh-CN"/>
          <w14:textFill>
            <w14:solidFill>
              <w14:schemeClr w14:val="tx1"/>
            </w14:solidFill>
          </w14:textFill>
        </w:rPr>
        <w:t>大槐镇、君堂镇、恩城街道</w:t>
      </w:r>
      <w:r>
        <w:rPr>
          <w:rFonts w:hint="eastAsia"/>
          <w:color w:val="000000" w:themeColor="text1"/>
          <w:kern w:val="0"/>
          <w14:textFill>
            <w14:solidFill>
              <w14:schemeClr w14:val="tx1"/>
            </w14:solidFill>
          </w14:textFill>
        </w:rPr>
        <w:t>。</w:t>
      </w:r>
    </w:p>
    <w:p w14:paraId="01F14962">
      <w:pPr>
        <w:ind w:firstLine="640" w:firstLineChars="200"/>
        <w:rPr>
          <w:rFonts w:hint="eastAsia"/>
          <w:color w:val="000000" w:themeColor="text1"/>
          <w:kern w:val="0"/>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cs="仿宋_GB2312"/>
          <w:color w:val="auto"/>
          <w:sz w:val="32"/>
          <w:szCs w:val="32"/>
          <w:lang w:val="en-US" w:eastAsia="zh-CN"/>
        </w:rPr>
        <w:t>6</w:t>
      </w:r>
      <w:r>
        <w:rPr>
          <w:rFonts w:hint="eastAsia" w:ascii="Times New Roman" w:hAnsi="Times New Roman" w:eastAsia="仿宋_GB2312" w:cs="仿宋_GB2312"/>
          <w:color w:val="auto"/>
          <w:sz w:val="32"/>
          <w:szCs w:val="32"/>
          <w:lang w:val="en-US" w:eastAsia="zh-CN"/>
        </w:rPr>
        <w:t>家</w:t>
      </w:r>
    </w:p>
    <w:p w14:paraId="1BB64FAE">
      <w:pPr>
        <w:widowControl/>
        <w:spacing w:line="560" w:lineRule="exact"/>
        <w:ind w:right="-320" w:rightChars="-100" w:firstLine="640" w:firstLineChars="20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检查方式：双随机抽查、定向检查。</w:t>
      </w:r>
    </w:p>
    <w:p w14:paraId="16EA6BEA">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计划检查次数：1次。</w:t>
      </w:r>
    </w:p>
    <w:p w14:paraId="5726C47F">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负责股室：安全生产基础股。</w:t>
      </w:r>
    </w:p>
    <w:p w14:paraId="140AF3C7">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年12月3</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日前。</w:t>
      </w:r>
    </w:p>
    <w:p w14:paraId="2EFEE418">
      <w:pPr>
        <w:spacing w:line="560" w:lineRule="exact"/>
        <w:ind w:firstLine="643"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5</w:t>
      </w:r>
      <w:r>
        <w:rPr>
          <w:b/>
          <w:color w:val="000000" w:themeColor="text1"/>
          <w14:textFill>
            <w14:solidFill>
              <w14:schemeClr w14:val="tx1"/>
            </w14:solidFill>
          </w14:textFill>
        </w:rPr>
        <w:t>.有限空间作业</w:t>
      </w:r>
      <w:r>
        <w:rPr>
          <w:rFonts w:hint="eastAsia"/>
          <w:b/>
          <w:color w:val="000000" w:themeColor="text1"/>
          <w14:textFill>
            <w14:solidFill>
              <w14:schemeClr w14:val="tx1"/>
            </w14:solidFill>
          </w14:textFill>
        </w:rPr>
        <w:t>企业</w:t>
      </w:r>
      <w:r>
        <w:rPr>
          <w:b/>
          <w:color w:val="000000" w:themeColor="text1"/>
          <w14:textFill>
            <w14:solidFill>
              <w14:schemeClr w14:val="tx1"/>
            </w14:solidFill>
          </w14:textFill>
        </w:rPr>
        <w:t>安全监督检查（</w:t>
      </w: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家）。</w:t>
      </w:r>
    </w:p>
    <w:p w14:paraId="6217821C">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重点区域：</w:t>
      </w:r>
      <w:r>
        <w:rPr>
          <w:rFonts w:hint="eastAsia"/>
          <w:color w:val="000000" w:themeColor="text1"/>
          <w:lang w:val="en-US" w:eastAsia="zh-CN"/>
          <w14:textFill>
            <w14:solidFill>
              <w14:schemeClr w14:val="tx1"/>
            </w14:solidFill>
          </w14:textFill>
        </w:rPr>
        <w:t>恩城街道、沙湖镇</w:t>
      </w:r>
      <w:r>
        <w:rPr>
          <w:rFonts w:hint="eastAsia"/>
          <w:color w:val="000000" w:themeColor="text1"/>
          <w:lang w:eastAsia="zh-CN"/>
          <w14:textFill>
            <w14:solidFill>
              <w14:schemeClr w14:val="tx1"/>
            </w14:solidFill>
          </w14:textFill>
        </w:rPr>
        <w:t>、东成镇、</w:t>
      </w:r>
      <w:r>
        <w:rPr>
          <w:rFonts w:hint="eastAsia"/>
          <w:color w:val="000000" w:themeColor="text1"/>
          <w:lang w:val="en-US" w:eastAsia="zh-CN"/>
          <w14:textFill>
            <w14:solidFill>
              <w14:schemeClr w14:val="tx1"/>
            </w14:solidFill>
          </w14:textFill>
        </w:rPr>
        <w:t>君堂</w:t>
      </w:r>
      <w:r>
        <w:rPr>
          <w:rFonts w:hint="eastAsia"/>
          <w:color w:val="000000" w:themeColor="text1"/>
          <w:lang w:eastAsia="zh-CN"/>
          <w14:textFill>
            <w14:solidFill>
              <w14:schemeClr w14:val="tx1"/>
            </w14:solidFill>
          </w14:textFill>
        </w:rPr>
        <w:t>镇、</w:t>
      </w:r>
      <w:r>
        <w:rPr>
          <w:rFonts w:hint="eastAsia"/>
          <w:color w:val="000000" w:themeColor="text1"/>
          <w:lang w:val="en-US" w:eastAsia="zh-CN"/>
          <w14:textFill>
            <w14:solidFill>
              <w14:schemeClr w14:val="tx1"/>
            </w14:solidFill>
          </w14:textFill>
        </w:rPr>
        <w:t>大槐镇</w:t>
      </w:r>
      <w:r>
        <w:rPr>
          <w:color w:val="000000" w:themeColor="text1"/>
          <w14:textFill>
            <w14:solidFill>
              <w14:schemeClr w14:val="tx1"/>
            </w14:solidFill>
          </w14:textFill>
        </w:rPr>
        <w:t>。</w:t>
      </w:r>
    </w:p>
    <w:p w14:paraId="73222A7C">
      <w:pPr>
        <w:ind w:firstLine="640" w:firstLineChars="200"/>
        <w:rPr>
          <w:color w:val="000000" w:themeColor="text1"/>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8</w:t>
      </w:r>
      <w:r>
        <w:rPr>
          <w:rFonts w:hint="eastAsia" w:ascii="Times New Roman" w:hAnsi="Times New Roman" w:eastAsia="仿宋_GB2312" w:cs="仿宋_GB2312"/>
          <w:color w:val="auto"/>
          <w:sz w:val="32"/>
          <w:szCs w:val="32"/>
          <w:lang w:val="en-US" w:eastAsia="zh-CN"/>
        </w:rPr>
        <w:t>家</w:t>
      </w:r>
    </w:p>
    <w:p w14:paraId="71CA5D06">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检查方式：定向检查。</w:t>
      </w:r>
    </w:p>
    <w:p w14:paraId="6EA948AC">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计划检查次数：1次。</w:t>
      </w:r>
    </w:p>
    <w:p w14:paraId="7ECA8B5E">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负责股室：安全生产基础股。</w:t>
      </w:r>
    </w:p>
    <w:p w14:paraId="2C9C7108">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年12月3</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日前。</w:t>
      </w:r>
    </w:p>
    <w:p w14:paraId="1401123D">
      <w:pPr>
        <w:spacing w:line="560" w:lineRule="exact"/>
        <w:ind w:firstLine="643"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w:t>
      </w:r>
      <w:r>
        <w:rPr>
          <w:rFonts w:hint="eastAsia"/>
          <w:b/>
          <w:color w:val="000000" w:themeColor="text1"/>
          <w:lang w:eastAsia="zh-CN"/>
          <w14:textFill>
            <w14:solidFill>
              <w14:schemeClr w14:val="tx1"/>
            </w14:solidFill>
          </w14:textFill>
        </w:rPr>
        <w:t>建材企业</w:t>
      </w:r>
      <w:r>
        <w:rPr>
          <w:b/>
          <w:color w:val="000000" w:themeColor="text1"/>
          <w14:textFill>
            <w14:solidFill>
              <w14:schemeClr w14:val="tx1"/>
            </w14:solidFill>
          </w14:textFill>
        </w:rPr>
        <w:t>安全</w:t>
      </w:r>
      <w:r>
        <w:rPr>
          <w:rFonts w:hint="eastAsia"/>
          <w:b/>
          <w:color w:val="000000" w:themeColor="text1"/>
          <w:lang w:eastAsia="zh-CN"/>
          <w14:textFill>
            <w14:solidFill>
              <w14:schemeClr w14:val="tx1"/>
            </w14:solidFill>
          </w14:textFill>
        </w:rPr>
        <w:t>监督</w:t>
      </w:r>
      <w:r>
        <w:rPr>
          <w:b/>
          <w:color w:val="000000" w:themeColor="text1"/>
          <w14:textFill>
            <w14:solidFill>
              <w14:schemeClr w14:val="tx1"/>
            </w14:solidFill>
          </w14:textFill>
        </w:rPr>
        <w:t>检查。（</w:t>
      </w:r>
      <w:r>
        <w:rPr>
          <w:rFonts w:hint="eastAsia"/>
          <w:b/>
          <w:color w:val="000000" w:themeColor="text1"/>
          <w:lang w:val="en-US" w:eastAsia="zh-CN"/>
          <w14:textFill>
            <w14:solidFill>
              <w14:schemeClr w14:val="tx1"/>
            </w14:solidFill>
          </w14:textFill>
        </w:rPr>
        <w:t>6</w:t>
      </w:r>
      <w:r>
        <w:rPr>
          <w:b/>
          <w:color w:val="000000" w:themeColor="text1"/>
          <w14:textFill>
            <w14:solidFill>
              <w14:schemeClr w14:val="tx1"/>
            </w14:solidFill>
          </w14:textFill>
        </w:rPr>
        <w:t>家）。</w:t>
      </w:r>
    </w:p>
    <w:p w14:paraId="52DBC1E9">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重点区域：</w:t>
      </w:r>
      <w:r>
        <w:rPr>
          <w:rFonts w:hint="eastAsia"/>
          <w:color w:val="000000" w:themeColor="text1"/>
          <w:lang w:val="en-US" w:eastAsia="zh-CN"/>
          <w14:textFill>
            <w14:solidFill>
              <w14:schemeClr w14:val="tx1"/>
            </w14:solidFill>
          </w14:textFill>
        </w:rPr>
        <w:t>东成镇、沙湖镇、</w:t>
      </w:r>
      <w:r>
        <w:rPr>
          <w:rFonts w:hint="eastAsia"/>
          <w:color w:val="000000" w:themeColor="text1"/>
          <w:lang w:eastAsia="zh-CN"/>
          <w14:textFill>
            <w14:solidFill>
              <w14:schemeClr w14:val="tx1"/>
            </w14:solidFill>
          </w14:textFill>
        </w:rPr>
        <w:t>横陂镇</w:t>
      </w:r>
      <w:r>
        <w:rPr>
          <w:color w:val="000000" w:themeColor="text1"/>
          <w14:textFill>
            <w14:solidFill>
              <w14:schemeClr w14:val="tx1"/>
            </w14:solidFill>
          </w14:textFill>
        </w:rPr>
        <w:t>。</w:t>
      </w:r>
    </w:p>
    <w:p w14:paraId="141BD263">
      <w:pPr>
        <w:ind w:firstLine="640" w:firstLineChars="200"/>
        <w:rPr>
          <w:color w:val="000000" w:themeColor="text1"/>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6</w:t>
      </w:r>
      <w:r>
        <w:rPr>
          <w:rFonts w:hint="eastAsia" w:ascii="Times New Roman" w:hAnsi="Times New Roman" w:eastAsia="仿宋_GB2312" w:cs="仿宋_GB2312"/>
          <w:color w:val="auto"/>
          <w:sz w:val="32"/>
          <w:szCs w:val="32"/>
          <w:lang w:val="en-US" w:eastAsia="zh-CN"/>
        </w:rPr>
        <w:t>家</w:t>
      </w:r>
    </w:p>
    <w:p w14:paraId="4F82804C">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检查方式：定向检查。</w:t>
      </w:r>
    </w:p>
    <w:p w14:paraId="614E3F19">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计划检查次数：1次。</w:t>
      </w:r>
    </w:p>
    <w:p w14:paraId="3C63A5EF">
      <w:pPr>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负责股室：安全生产基础股。</w:t>
      </w:r>
    </w:p>
    <w:p w14:paraId="16044DF1">
      <w:pPr>
        <w:spacing w:line="560" w:lineRule="exact"/>
        <w:ind w:firstLine="640" w:firstLineChars="200"/>
        <w:rPr>
          <w:rFonts w:hint="eastAsia" w:eastAsia="仿宋_GB2312"/>
          <w:b/>
          <w:color w:val="000000" w:themeColor="text1"/>
          <w:lang w:eastAsia="zh-CN"/>
          <w14:textFill>
            <w14:solidFill>
              <w14:schemeClr w14:val="tx1"/>
            </w14:solidFill>
          </w14:textFill>
        </w:rPr>
      </w:pPr>
      <w:r>
        <w:rPr>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年12月3</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日前。</w:t>
      </w:r>
    </w:p>
    <w:p w14:paraId="1816DCE2">
      <w:pPr>
        <w:spacing w:line="560" w:lineRule="exact"/>
        <w:ind w:firstLine="643" w:firstLineChars="200"/>
        <w:rPr>
          <w:b/>
          <w:color w:val="000000" w:themeColor="text1"/>
          <w14:textFill>
            <w14:solidFill>
              <w14:schemeClr w14:val="tx1"/>
            </w14:solidFill>
          </w14:textFill>
        </w:rPr>
      </w:pPr>
      <w:r>
        <w:rPr>
          <w:rFonts w:hint="eastAsia"/>
          <w:b/>
          <w:color w:val="000000" w:themeColor="text1"/>
          <w:lang w:val="en-US" w:eastAsia="zh-CN"/>
          <w14:textFill>
            <w14:solidFill>
              <w14:schemeClr w14:val="tx1"/>
            </w14:solidFill>
          </w14:textFill>
        </w:rPr>
        <w:t>7.</w:t>
      </w:r>
      <w:r>
        <w:rPr>
          <w:b/>
          <w:color w:val="000000" w:themeColor="text1"/>
          <w14:textFill>
            <w14:solidFill>
              <w14:schemeClr w14:val="tx1"/>
            </w14:solidFill>
          </w14:textFill>
        </w:rPr>
        <w:t>使用</w:t>
      </w:r>
      <w:r>
        <w:rPr>
          <w:rFonts w:hint="eastAsia"/>
          <w:b/>
          <w:color w:val="000000" w:themeColor="text1"/>
          <w:lang w:val="en-US" w:eastAsia="zh-CN"/>
          <w14:textFill>
            <w14:solidFill>
              <w14:schemeClr w14:val="tx1"/>
            </w14:solidFill>
          </w14:textFill>
        </w:rPr>
        <w:t>非药类</w:t>
      </w:r>
      <w:r>
        <w:rPr>
          <w:b/>
          <w:color w:val="000000" w:themeColor="text1"/>
          <w14:textFill>
            <w14:solidFill>
              <w14:schemeClr w14:val="tx1"/>
            </w14:solidFill>
          </w14:textFill>
        </w:rPr>
        <w:t>易制毒化学品的工贸企业安全</w:t>
      </w:r>
      <w:r>
        <w:rPr>
          <w:rFonts w:hint="eastAsia"/>
          <w:b/>
          <w:color w:val="000000" w:themeColor="text1"/>
          <w:lang w:eastAsia="zh-CN"/>
          <w14:textFill>
            <w14:solidFill>
              <w14:schemeClr w14:val="tx1"/>
            </w14:solidFill>
          </w14:textFill>
        </w:rPr>
        <w:t>监督</w:t>
      </w:r>
      <w:r>
        <w:rPr>
          <w:b/>
          <w:color w:val="000000" w:themeColor="text1"/>
          <w14:textFill>
            <w14:solidFill>
              <w14:schemeClr w14:val="tx1"/>
            </w14:solidFill>
          </w14:textFill>
        </w:rPr>
        <w:t>检查。（</w:t>
      </w:r>
      <w:r>
        <w:rPr>
          <w:rFonts w:hint="eastAsia"/>
          <w:b/>
          <w:color w:val="000000" w:themeColor="text1"/>
          <w:lang w:val="en-US" w:eastAsia="zh-CN"/>
          <w14:textFill>
            <w14:solidFill>
              <w14:schemeClr w14:val="tx1"/>
            </w14:solidFill>
          </w14:textFill>
        </w:rPr>
        <w:t>4</w:t>
      </w:r>
      <w:r>
        <w:rPr>
          <w:b/>
          <w:color w:val="000000" w:themeColor="text1"/>
          <w14:textFill>
            <w14:solidFill>
              <w14:schemeClr w14:val="tx1"/>
            </w14:solidFill>
          </w14:textFill>
        </w:rPr>
        <w:t>家）。</w:t>
      </w:r>
    </w:p>
    <w:p w14:paraId="33E46779">
      <w:pPr>
        <w:ind w:firstLine="640" w:firstLineChars="200"/>
        <w:rPr>
          <w:rFonts w:hint="eastAsia"/>
          <w:color w:val="000000" w:themeColor="text1"/>
          <w14:textFill>
            <w14:solidFill>
              <w14:schemeClr w14:val="tx1"/>
            </w14:solidFill>
          </w14:textFill>
        </w:rPr>
      </w:pPr>
      <w:r>
        <w:rPr>
          <w:color w:val="000000" w:themeColor="text1"/>
          <w14:textFill>
            <w14:solidFill>
              <w14:schemeClr w14:val="tx1"/>
            </w14:solidFill>
          </w14:textFill>
        </w:rPr>
        <w:t>重点区域：</w:t>
      </w:r>
      <w:r>
        <w:rPr>
          <w:rFonts w:hint="eastAsia"/>
          <w:color w:val="000000" w:themeColor="text1"/>
          <w:lang w:val="en-US" w:eastAsia="zh-CN"/>
          <w14:textFill>
            <w14:solidFill>
              <w14:schemeClr w14:val="tx1"/>
            </w14:solidFill>
          </w14:textFill>
        </w:rPr>
        <w:t>东成镇</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大槐镇、圣堂镇</w:t>
      </w:r>
      <w:r>
        <w:rPr>
          <w:rFonts w:hint="eastAsia"/>
          <w:color w:val="000000" w:themeColor="text1"/>
          <w14:textFill>
            <w14:solidFill>
              <w14:schemeClr w14:val="tx1"/>
            </w14:solidFill>
          </w14:textFill>
        </w:rPr>
        <w:t>。</w:t>
      </w:r>
    </w:p>
    <w:p w14:paraId="1AA85560">
      <w:pPr>
        <w:ind w:firstLine="640" w:firstLineChars="200"/>
        <w:rPr>
          <w:rFonts w:hint="eastAsia"/>
          <w:color w:val="000000" w:themeColor="text1"/>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4</w:t>
      </w:r>
      <w:r>
        <w:rPr>
          <w:rFonts w:hint="eastAsia" w:ascii="Times New Roman" w:hAnsi="Times New Roman" w:eastAsia="仿宋_GB2312" w:cs="仿宋_GB2312"/>
          <w:color w:val="auto"/>
          <w:sz w:val="32"/>
          <w:szCs w:val="32"/>
          <w:lang w:val="en-US" w:eastAsia="zh-CN"/>
        </w:rPr>
        <w:t>家</w:t>
      </w:r>
    </w:p>
    <w:p w14:paraId="5EDA30EC">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检查方式：定向检查。</w:t>
      </w:r>
    </w:p>
    <w:p w14:paraId="00A0A313">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计划检查次数：1次。</w:t>
      </w:r>
    </w:p>
    <w:p w14:paraId="1B035616">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负责股室：安全生产基础股。</w:t>
      </w:r>
    </w:p>
    <w:p w14:paraId="7183D11C">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年12月30日前。</w:t>
      </w:r>
    </w:p>
    <w:p w14:paraId="71EF0794">
      <w:pPr>
        <w:widowControl w:val="0"/>
        <w:topLinePunct/>
        <w:autoSpaceDE w:val="0"/>
        <w:spacing w:beforeLines="0" w:afterLines="0" w:line="580" w:lineRule="exact"/>
        <w:ind w:firstLine="643" w:firstLineChars="200"/>
        <w:jc w:val="both"/>
        <w:outlineLvl w:val="9"/>
        <w:rPr>
          <w:rFonts w:hint="eastAsia" w:ascii="Times New Roman" w:hAnsi="Times New Roman" w:eastAsia="仿宋_GB2312" w:cs="仿宋_GB2312"/>
          <w:b/>
          <w:bCs/>
          <w:color w:val="auto"/>
          <w:sz w:val="32"/>
          <w:szCs w:val="32"/>
          <w:lang w:val="en-US" w:eastAsia="zh-CN"/>
        </w:rPr>
      </w:pPr>
      <w:r>
        <w:rPr>
          <w:rFonts w:hint="eastAsia"/>
          <w:b/>
          <w:color w:val="auto"/>
          <w:highlight w:val="none"/>
          <w:lang w:val="en-US" w:eastAsia="zh-CN"/>
        </w:rPr>
        <w:t>8</w:t>
      </w:r>
      <w:r>
        <w:rPr>
          <w:rFonts w:hint="eastAsia"/>
          <w:b/>
          <w:color w:val="auto"/>
          <w:highlight w:val="none"/>
        </w:rPr>
        <w:t>.</w:t>
      </w:r>
      <w:r>
        <w:rPr>
          <w:rFonts w:hint="eastAsia" w:ascii="Times New Roman" w:hAnsi="Times New Roman" w:eastAsia="仿宋_GB2312" w:cs="仿宋_GB2312"/>
          <w:b/>
          <w:bCs/>
          <w:color w:val="auto"/>
          <w:sz w:val="32"/>
          <w:szCs w:val="32"/>
          <w:lang w:val="en-US" w:eastAsia="zh-CN"/>
        </w:rPr>
        <w:t>2024年发生过人员死亡或受伤的生产安全事故</w:t>
      </w:r>
      <w:r>
        <w:rPr>
          <w:rFonts w:hint="default" w:ascii="Times New Roman" w:hAnsi="Times New Roman" w:eastAsia="仿宋_GB2312" w:cs="仿宋_GB2312"/>
          <w:b/>
          <w:bCs/>
          <w:color w:val="auto"/>
          <w:sz w:val="32"/>
          <w:szCs w:val="32"/>
          <w:lang w:eastAsia="zh-CN"/>
        </w:rPr>
        <w:t>工贸</w:t>
      </w:r>
      <w:r>
        <w:rPr>
          <w:rFonts w:hint="eastAsia" w:ascii="Times New Roman" w:hAnsi="Times New Roman" w:eastAsia="仿宋_GB2312" w:cs="仿宋_GB2312"/>
          <w:b/>
          <w:bCs/>
          <w:color w:val="auto"/>
          <w:sz w:val="32"/>
          <w:szCs w:val="32"/>
          <w:lang w:val="en-US" w:eastAsia="zh-CN"/>
        </w:rPr>
        <w:t>企业</w:t>
      </w:r>
      <w:r>
        <w:rPr>
          <w:rFonts w:hint="default" w:ascii="Times New Roman" w:hAnsi="Times New Roman" w:eastAsia="仿宋_GB2312" w:cs="仿宋_GB2312"/>
          <w:b/>
          <w:bCs/>
          <w:color w:val="auto"/>
          <w:sz w:val="32"/>
          <w:szCs w:val="32"/>
          <w:lang w:eastAsia="zh-CN"/>
        </w:rPr>
        <w:t>检查</w:t>
      </w:r>
    </w:p>
    <w:p w14:paraId="0BE96C96">
      <w:pPr>
        <w:widowControl w:val="0"/>
        <w:numPr>
          <w:ilvl w:val="-1"/>
          <w:numId w:val="0"/>
        </w:numPr>
        <w:topLinePunct/>
        <w:autoSpaceDE w:val="0"/>
        <w:spacing w:beforeLines="0" w:afterLines="0" w:line="580" w:lineRule="exact"/>
        <w:ind w:firstLine="640" w:firstLineChars="200"/>
        <w:jc w:val="both"/>
        <w:outlineLvl w:val="9"/>
        <w:rPr>
          <w:rFonts w:hint="default"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重点区域：</w:t>
      </w:r>
      <w:r>
        <w:rPr>
          <w:rFonts w:hint="eastAsia" w:cs="仿宋_GB2312"/>
          <w:b w:val="0"/>
          <w:bCs w:val="0"/>
          <w:color w:val="auto"/>
          <w:sz w:val="32"/>
          <w:szCs w:val="32"/>
          <w:lang w:val="en-US" w:eastAsia="zh-CN"/>
        </w:rPr>
        <w:t>沙湖镇</w:t>
      </w:r>
    </w:p>
    <w:p w14:paraId="15B461E5">
      <w:pPr>
        <w:widowControl w:val="0"/>
        <w:numPr>
          <w:ilvl w:val="-1"/>
          <w:numId w:val="0"/>
        </w:numPr>
        <w:topLinePunct/>
        <w:autoSpaceDE w:val="0"/>
        <w:spacing w:beforeLines="0" w:afterLines="0" w:line="580" w:lineRule="exact"/>
        <w:ind w:firstLine="640" w:firstLineChars="200"/>
        <w:jc w:val="both"/>
        <w:outlineLvl w:val="9"/>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重点单位数量：</w:t>
      </w:r>
      <w:r>
        <w:rPr>
          <w:rFonts w:hint="eastAsia" w:ascii="Times New Roman" w:hAnsi="Times New Roman" w:eastAsia="仿宋_GB2312" w:cs="仿宋_GB2312"/>
          <w:color w:val="auto"/>
          <w:sz w:val="32"/>
          <w:szCs w:val="32"/>
          <w:lang w:eastAsia="zh-CN"/>
        </w:rPr>
        <w:t>1</w:t>
      </w:r>
      <w:r>
        <w:rPr>
          <w:rFonts w:hint="eastAsia" w:ascii="Times New Roman" w:hAnsi="Times New Roman" w:eastAsia="仿宋_GB2312" w:cs="仿宋_GB2312"/>
          <w:color w:val="auto"/>
          <w:sz w:val="32"/>
          <w:szCs w:val="32"/>
          <w:lang w:val="en-US" w:eastAsia="zh-CN"/>
        </w:rPr>
        <w:t>家</w:t>
      </w:r>
    </w:p>
    <w:p w14:paraId="1274356B">
      <w:pPr>
        <w:widowControl w:val="0"/>
        <w:numPr>
          <w:ilvl w:val="-1"/>
          <w:numId w:val="0"/>
        </w:numPr>
        <w:topLinePunct/>
        <w:autoSpaceDE w:val="0"/>
        <w:spacing w:beforeLines="0" w:afterLines="0" w:line="580" w:lineRule="exact"/>
        <w:ind w:firstLine="640" w:firstLineChars="200"/>
        <w:jc w:val="both"/>
        <w:outlineLvl w:val="9"/>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计划检查次数：</w:t>
      </w:r>
      <w:r>
        <w:rPr>
          <w:rFonts w:hint="eastAsia" w:ascii="Times New Roman" w:hAnsi="Times New Roman" w:eastAsia="仿宋_GB2312" w:cs="仿宋_GB2312"/>
          <w:bCs w:val="0"/>
          <w:color w:val="auto"/>
          <w:kern w:val="0"/>
          <w:sz w:val="32"/>
          <w:szCs w:val="32"/>
          <w:lang w:val="en-US" w:eastAsia="zh-CN"/>
        </w:rPr>
        <w:t>不超过2次</w:t>
      </w:r>
    </w:p>
    <w:p w14:paraId="36B9C4DC">
      <w:pPr>
        <w:widowControl w:val="0"/>
        <w:numPr>
          <w:ilvl w:val="-1"/>
          <w:numId w:val="0"/>
        </w:numPr>
        <w:topLinePunct/>
        <w:autoSpaceDE w:val="0"/>
        <w:spacing w:beforeLines="0" w:afterLines="0" w:line="580" w:lineRule="exact"/>
        <w:ind w:firstLine="640" w:firstLineChars="200"/>
        <w:jc w:val="both"/>
        <w:outlineLvl w:val="9"/>
        <w:rPr>
          <w:rFonts w:hint="default"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负责</w:t>
      </w:r>
      <w:r>
        <w:rPr>
          <w:rFonts w:hint="eastAsia" w:ascii="Times New Roman" w:hAnsi="Times New Roman" w:eastAsia="仿宋_GB2312" w:cs="仿宋_GB2312"/>
          <w:b w:val="0"/>
          <w:bCs w:val="0"/>
          <w:color w:val="auto"/>
          <w:sz w:val="32"/>
          <w:szCs w:val="32"/>
          <w:lang w:eastAsia="zh-CN"/>
        </w:rPr>
        <w:t>科</w:t>
      </w:r>
      <w:r>
        <w:rPr>
          <w:rFonts w:hint="eastAsia" w:ascii="Times New Roman" w:hAnsi="Times New Roman" w:eastAsia="仿宋_GB2312" w:cs="仿宋_GB2312"/>
          <w:b w:val="0"/>
          <w:bCs w:val="0"/>
          <w:color w:val="auto"/>
          <w:sz w:val="32"/>
          <w:szCs w:val="32"/>
          <w:lang w:val="en-US" w:eastAsia="zh-CN"/>
        </w:rPr>
        <w:t>室：</w:t>
      </w:r>
      <w:r>
        <w:rPr>
          <w:rFonts w:hint="eastAsia" w:ascii="Times New Roman" w:hAnsi="Times New Roman" w:eastAsia="仿宋_GB2312" w:cs="仿宋_GB2312"/>
          <w:color w:val="auto"/>
          <w:sz w:val="32"/>
          <w:szCs w:val="32"/>
          <w:lang w:eastAsia="zh-CN"/>
        </w:rPr>
        <w:t>安全</w:t>
      </w:r>
      <w:r>
        <w:rPr>
          <w:rFonts w:hint="eastAsia" w:cs="仿宋_GB2312"/>
          <w:color w:val="auto"/>
          <w:sz w:val="32"/>
          <w:szCs w:val="32"/>
          <w:lang w:val="en-US" w:eastAsia="zh-CN"/>
        </w:rPr>
        <w:t>生产基础股</w:t>
      </w:r>
    </w:p>
    <w:p w14:paraId="5024C6B1">
      <w:pPr>
        <w:widowControl w:val="0"/>
        <w:numPr>
          <w:ilvl w:val="-1"/>
          <w:numId w:val="0"/>
        </w:numPr>
        <w:topLinePunct/>
        <w:autoSpaceDE w:val="0"/>
        <w:spacing w:beforeLines="0" w:afterLines="0" w:line="580" w:lineRule="exact"/>
        <w:ind w:firstLine="640" w:firstLineChars="200"/>
        <w:jc w:val="both"/>
        <w:outlineLvl w:val="9"/>
        <w:rPr>
          <w:rFonts w:hint="eastAsia"/>
          <w:color w:val="000000" w:themeColor="text1"/>
          <w:lang w:eastAsia="zh-CN"/>
          <w14:textFill>
            <w14:solidFill>
              <w14:schemeClr w14:val="tx1"/>
            </w14:solidFill>
          </w14:textFill>
        </w:rPr>
      </w:pPr>
      <w:r>
        <w:rPr>
          <w:rFonts w:hint="eastAsia" w:ascii="Times New Roman" w:hAnsi="Times New Roman" w:eastAsia="仿宋_GB2312" w:cs="仿宋_GB2312"/>
          <w:b w:val="0"/>
          <w:bCs w:val="0"/>
          <w:color w:val="auto"/>
          <w:sz w:val="32"/>
          <w:szCs w:val="32"/>
          <w:lang w:val="en-US" w:eastAsia="zh-CN"/>
        </w:rPr>
        <w:t>时间安排：</w:t>
      </w:r>
      <w:r>
        <w:rPr>
          <w:rFonts w:hint="eastAsia" w:ascii="Times New Roman" w:hAnsi="Times New Roman" w:eastAsia="仿宋_GB2312" w:cs="仿宋_GB2312"/>
          <w:color w:val="auto"/>
          <w:sz w:val="32"/>
          <w:szCs w:val="32"/>
          <w:lang w:val="en-US" w:eastAsia="zh-CN"/>
        </w:rPr>
        <w:t>2025年</w:t>
      </w:r>
      <w:r>
        <w:rPr>
          <w:rFonts w:hint="eastAsia"/>
          <w:color w:val="000000" w:themeColor="text1"/>
          <w14:textFill>
            <w14:solidFill>
              <w14:schemeClr w14:val="tx1"/>
            </w14:solidFill>
          </w14:textFill>
        </w:rPr>
        <w:t>12月30日前</w:t>
      </w:r>
      <w:r>
        <w:rPr>
          <w:rFonts w:hint="eastAsia"/>
          <w:color w:val="000000" w:themeColor="text1"/>
          <w:lang w:eastAsia="zh-CN"/>
          <w14:textFill>
            <w14:solidFill>
              <w14:schemeClr w14:val="tx1"/>
            </w14:solidFill>
          </w14:textFill>
        </w:rPr>
        <w:t>。</w:t>
      </w:r>
    </w:p>
    <w:p w14:paraId="4CB1CC13">
      <w:pPr>
        <w:numPr>
          <w:ilvl w:val="0"/>
          <w:numId w:val="0"/>
        </w:numPr>
        <w:spacing w:line="560" w:lineRule="exact"/>
        <w:ind w:firstLine="643" w:firstLineChars="200"/>
        <w:rPr>
          <w:rFonts w:hint="eastAsia" w:cs="仿宋_GB2312"/>
          <w:b w:val="0"/>
          <w:bCs w:val="0"/>
          <w:color w:val="auto"/>
          <w:sz w:val="32"/>
          <w:szCs w:val="32"/>
          <w:lang w:val="en-US" w:eastAsia="zh-CN"/>
        </w:rPr>
      </w:pPr>
      <w:r>
        <w:rPr>
          <w:rFonts w:hint="eastAsia"/>
          <w:b/>
          <w:color w:val="auto"/>
          <w:highlight w:val="none"/>
          <w:lang w:val="en-US" w:eastAsia="zh-CN"/>
        </w:rPr>
        <w:t>9.工贸行业电镀企业危险化学品使用安全监督检查（6家）</w:t>
      </w:r>
    </w:p>
    <w:p w14:paraId="6AD6ADA3">
      <w:pPr>
        <w:widowControl w:val="0"/>
        <w:numPr>
          <w:ilvl w:val="-1"/>
          <w:numId w:val="0"/>
        </w:numPr>
        <w:topLinePunct/>
        <w:autoSpaceDE w:val="0"/>
        <w:spacing w:beforeLines="0" w:afterLines="0" w:line="580" w:lineRule="exact"/>
        <w:ind w:firstLine="640" w:firstLineChars="200"/>
        <w:jc w:val="both"/>
        <w:outlineLvl w:val="9"/>
        <w:rPr>
          <w:rFonts w:hint="eastAsia"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重点区域：</w:t>
      </w:r>
      <w:r>
        <w:rPr>
          <w:rFonts w:hint="eastAsia" w:cs="仿宋_GB2312"/>
          <w:b w:val="0"/>
          <w:bCs w:val="0"/>
          <w:color w:val="auto"/>
          <w:sz w:val="32"/>
          <w:szCs w:val="32"/>
          <w:lang w:val="en-US" w:eastAsia="zh-CN"/>
        </w:rPr>
        <w:t>圣堂镇</w:t>
      </w:r>
    </w:p>
    <w:p w14:paraId="2C96E48F">
      <w:pPr>
        <w:ind w:firstLine="640" w:firstLineChars="200"/>
        <w:rPr>
          <w:rFonts w:hint="default"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6</w:t>
      </w:r>
      <w:r>
        <w:rPr>
          <w:rFonts w:hint="eastAsia" w:ascii="Times New Roman" w:hAnsi="Times New Roman" w:eastAsia="仿宋_GB2312" w:cs="仿宋_GB2312"/>
          <w:color w:val="auto"/>
          <w:sz w:val="32"/>
          <w:szCs w:val="32"/>
          <w:lang w:val="en-US" w:eastAsia="zh-CN"/>
        </w:rPr>
        <w:t>家</w:t>
      </w:r>
    </w:p>
    <w:p w14:paraId="4E7A9C11">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检查方式：定向检查。</w:t>
      </w:r>
    </w:p>
    <w:p w14:paraId="2A2E8BDA">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计划检查次数：1次。</w:t>
      </w:r>
    </w:p>
    <w:p w14:paraId="47D65E7F">
      <w:pPr>
        <w:ind w:firstLine="64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负责股室：安全生产基础股。</w:t>
      </w:r>
    </w:p>
    <w:p w14:paraId="75FA7FAD">
      <w:pPr>
        <w:ind w:firstLine="640" w:firstLineChars="200"/>
        <w:rPr>
          <w:rFonts w:hint="default" w:ascii="Times New Roman" w:hAnsi="Times New Roman" w:eastAsia="仿宋_GB2312" w:cs="仿宋_GB2312"/>
          <w:b w:val="0"/>
          <w:bCs w:val="0"/>
          <w:color w:val="auto"/>
          <w:sz w:val="32"/>
          <w:szCs w:val="32"/>
          <w:lang w:val="en-US" w:eastAsia="zh-CN"/>
        </w:rPr>
      </w:pPr>
      <w:r>
        <w:rPr>
          <w:rFonts w:hint="eastAsia"/>
          <w:color w:val="000000" w:themeColor="text1"/>
          <w14:textFill>
            <w14:solidFill>
              <w14:schemeClr w14:val="tx1"/>
            </w14:solidFill>
          </w14:textFill>
        </w:rPr>
        <w:t>时间安排：202</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年12月30日前。</w:t>
      </w:r>
    </w:p>
    <w:p w14:paraId="4739E816">
      <w:pPr>
        <w:spacing w:line="560" w:lineRule="exact"/>
        <w:ind w:firstLine="643" w:firstLineChars="200"/>
        <w:rPr>
          <w:rFonts w:hint="eastAsia"/>
          <w:b/>
          <w:color w:val="auto"/>
          <w:highlight w:val="none"/>
        </w:rPr>
      </w:pPr>
      <w:r>
        <w:rPr>
          <w:rFonts w:hint="eastAsia"/>
          <w:b/>
          <w:color w:val="auto"/>
          <w:highlight w:val="none"/>
          <w:lang w:val="en-US" w:eastAsia="zh-CN"/>
        </w:rPr>
        <w:t>10</w:t>
      </w:r>
      <w:r>
        <w:rPr>
          <w:rFonts w:hint="eastAsia"/>
          <w:b/>
          <w:color w:val="auto"/>
          <w:highlight w:val="none"/>
        </w:rPr>
        <w:t>.非药品类易制毒化学品经营企业安全监督检查（3家）。</w:t>
      </w:r>
    </w:p>
    <w:p w14:paraId="6FF32A12">
      <w:pPr>
        <w:ind w:firstLine="640" w:firstLineChars="200"/>
        <w:rPr>
          <w:rFonts w:hint="eastAsia"/>
          <w:color w:val="000000" w:themeColor="text1"/>
          <w:highlight w:val="none"/>
          <w14:textFill>
            <w14:solidFill>
              <w14:schemeClr w14:val="tx1"/>
            </w14:solidFill>
          </w14:textFill>
        </w:rPr>
      </w:pPr>
      <w:r>
        <w:rPr>
          <w:rFonts w:hint="eastAsia"/>
          <w:color w:val="auto"/>
          <w:highlight w:val="none"/>
        </w:rPr>
        <w:t>重点区域</w:t>
      </w:r>
      <w:r>
        <w:rPr>
          <w:rFonts w:hint="eastAsia"/>
          <w:color w:val="000000" w:themeColor="text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沙湖</w:t>
      </w:r>
      <w:r>
        <w:rPr>
          <w:rFonts w:hint="eastAsia"/>
          <w:color w:val="000000" w:themeColor="text1"/>
          <w:highlight w:val="none"/>
          <w14:textFill>
            <w14:solidFill>
              <w14:schemeClr w14:val="tx1"/>
            </w14:solidFill>
          </w14:textFill>
        </w:rPr>
        <w:t>镇、</w:t>
      </w:r>
      <w:r>
        <w:rPr>
          <w:rFonts w:hint="eastAsia"/>
          <w:color w:val="000000" w:themeColor="text1"/>
          <w:highlight w:val="none"/>
          <w:lang w:val="en-US" w:eastAsia="zh-CN"/>
          <w14:textFill>
            <w14:solidFill>
              <w14:schemeClr w14:val="tx1"/>
            </w14:solidFill>
          </w14:textFill>
        </w:rPr>
        <w:t>东成</w:t>
      </w:r>
      <w:r>
        <w:rPr>
          <w:rFonts w:hint="eastAsia"/>
          <w:color w:val="000000" w:themeColor="text1"/>
          <w:highlight w:val="none"/>
          <w14:textFill>
            <w14:solidFill>
              <w14:schemeClr w14:val="tx1"/>
            </w14:solidFill>
          </w14:textFill>
        </w:rPr>
        <w:t>镇、</w:t>
      </w:r>
      <w:r>
        <w:rPr>
          <w:rFonts w:hint="eastAsia"/>
          <w:color w:val="000000" w:themeColor="text1"/>
          <w:highlight w:val="none"/>
          <w:lang w:val="en-US" w:eastAsia="zh-CN"/>
          <w14:textFill>
            <w14:solidFill>
              <w14:schemeClr w14:val="tx1"/>
            </w14:solidFill>
          </w14:textFill>
        </w:rPr>
        <w:t>大槐镇</w:t>
      </w:r>
      <w:r>
        <w:rPr>
          <w:rFonts w:hint="eastAsia"/>
          <w:color w:val="000000" w:themeColor="text1"/>
          <w:highlight w:val="none"/>
          <w14:textFill>
            <w14:solidFill>
              <w14:schemeClr w14:val="tx1"/>
            </w14:solidFill>
          </w14:textFill>
        </w:rPr>
        <w:t>。</w:t>
      </w:r>
    </w:p>
    <w:p w14:paraId="35BC1312">
      <w:pPr>
        <w:ind w:firstLine="640" w:firstLineChars="200"/>
        <w:rPr>
          <w:rFonts w:hint="eastAsia"/>
          <w:color w:val="000000" w:themeColor="text1"/>
          <w:highlight w:val="none"/>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3</w:t>
      </w:r>
      <w:r>
        <w:rPr>
          <w:rFonts w:hint="eastAsia" w:ascii="Times New Roman" w:hAnsi="Times New Roman" w:eastAsia="仿宋_GB2312" w:cs="仿宋_GB2312"/>
          <w:color w:val="auto"/>
          <w:sz w:val="32"/>
          <w:szCs w:val="32"/>
          <w:lang w:val="en-US" w:eastAsia="zh-CN"/>
        </w:rPr>
        <w:t>家</w:t>
      </w:r>
    </w:p>
    <w:p w14:paraId="4D9889B8">
      <w:pPr>
        <w:ind w:firstLine="640" w:firstLineChars="200"/>
        <w:rPr>
          <w:rFonts w:hint="eastAsia"/>
          <w:color w:val="auto"/>
          <w:highlight w:val="none"/>
        </w:rPr>
      </w:pPr>
      <w:r>
        <w:rPr>
          <w:rFonts w:hint="eastAsia"/>
          <w:color w:val="auto"/>
          <w:highlight w:val="none"/>
        </w:rPr>
        <w:t>检查方式：定向检查。</w:t>
      </w:r>
    </w:p>
    <w:p w14:paraId="7CDEEEF5">
      <w:pPr>
        <w:ind w:firstLine="640" w:firstLineChars="200"/>
        <w:rPr>
          <w:rFonts w:hint="eastAsia"/>
          <w:color w:val="auto"/>
          <w:highlight w:val="none"/>
        </w:rPr>
      </w:pPr>
      <w:r>
        <w:rPr>
          <w:rFonts w:hint="eastAsia"/>
          <w:color w:val="auto"/>
          <w:highlight w:val="none"/>
        </w:rPr>
        <w:t>计划检查次数：1次。</w:t>
      </w:r>
    </w:p>
    <w:p w14:paraId="15D88BAB">
      <w:pPr>
        <w:ind w:firstLine="640" w:firstLineChars="200"/>
        <w:rPr>
          <w:rFonts w:hint="eastAsia"/>
          <w:color w:val="auto"/>
          <w:highlight w:val="none"/>
        </w:rPr>
      </w:pPr>
      <w:r>
        <w:rPr>
          <w:rFonts w:hint="eastAsia"/>
          <w:color w:val="auto"/>
          <w:highlight w:val="none"/>
        </w:rPr>
        <w:t>负责股室：危险化学品安全监管股。</w:t>
      </w:r>
    </w:p>
    <w:p w14:paraId="05E5BFBE">
      <w:pPr>
        <w:ind w:firstLine="640" w:firstLineChars="200"/>
        <w:rPr>
          <w:rFonts w:hint="eastAsia"/>
          <w:color w:val="auto"/>
          <w:highlight w:val="none"/>
        </w:rPr>
      </w:pPr>
      <w:r>
        <w:rPr>
          <w:rFonts w:hint="eastAsia"/>
          <w:color w:val="auto"/>
          <w:highlight w:val="none"/>
        </w:rPr>
        <w:t>时间安排：202</w:t>
      </w:r>
      <w:r>
        <w:rPr>
          <w:rFonts w:hint="eastAsia"/>
          <w:color w:val="auto"/>
          <w:highlight w:val="none"/>
          <w:lang w:val="en-US" w:eastAsia="zh-CN"/>
        </w:rPr>
        <w:t>5</w:t>
      </w:r>
      <w:r>
        <w:rPr>
          <w:rFonts w:hint="eastAsia"/>
          <w:color w:val="auto"/>
          <w:highlight w:val="none"/>
        </w:rPr>
        <w:t>年12月30日前。</w:t>
      </w:r>
    </w:p>
    <w:p w14:paraId="50D8AD9B">
      <w:pPr>
        <w:spacing w:line="560" w:lineRule="exact"/>
        <w:ind w:firstLine="643" w:firstLineChars="200"/>
        <w:rPr>
          <w:rFonts w:hint="eastAsia"/>
          <w:b/>
          <w:color w:val="auto"/>
          <w:highlight w:val="none"/>
        </w:rPr>
      </w:pPr>
      <w:r>
        <w:rPr>
          <w:rFonts w:hint="eastAsia"/>
          <w:b/>
          <w:color w:val="auto"/>
          <w:highlight w:val="none"/>
          <w:lang w:val="en-US" w:eastAsia="zh-CN"/>
        </w:rPr>
        <w:t>11</w:t>
      </w:r>
      <w:r>
        <w:rPr>
          <w:rFonts w:hint="eastAsia"/>
          <w:b/>
          <w:color w:val="auto"/>
          <w:highlight w:val="none"/>
        </w:rPr>
        <w:t>.使用非药品类易制毒化学品</w:t>
      </w:r>
      <w:r>
        <w:rPr>
          <w:rFonts w:hint="eastAsia"/>
          <w:b/>
          <w:color w:val="auto"/>
          <w:highlight w:val="none"/>
          <w:lang w:val="en-US" w:eastAsia="zh-CN"/>
        </w:rPr>
        <w:t>的化工</w:t>
      </w:r>
      <w:r>
        <w:rPr>
          <w:rFonts w:hint="eastAsia"/>
          <w:b/>
          <w:color w:val="auto"/>
          <w:highlight w:val="none"/>
        </w:rPr>
        <w:t>企业安全监督检查（4家）。</w:t>
      </w:r>
    </w:p>
    <w:p w14:paraId="5421BE85">
      <w:pPr>
        <w:ind w:firstLine="640" w:firstLineChars="200"/>
        <w:rPr>
          <w:rFonts w:hint="eastAsia"/>
          <w:color w:val="000000" w:themeColor="text1"/>
          <w:highlight w:val="none"/>
          <w14:textFill>
            <w14:solidFill>
              <w14:schemeClr w14:val="tx1"/>
            </w14:solidFill>
          </w14:textFill>
        </w:rPr>
      </w:pPr>
      <w:r>
        <w:rPr>
          <w:rFonts w:hint="eastAsia"/>
          <w:color w:val="auto"/>
          <w:highlight w:val="none"/>
        </w:rPr>
        <w:t>重点</w:t>
      </w:r>
      <w:r>
        <w:rPr>
          <w:rFonts w:hint="eastAsia"/>
          <w:color w:val="000000" w:themeColor="text1"/>
          <w:highlight w:val="none"/>
          <w14:textFill>
            <w14:solidFill>
              <w14:schemeClr w14:val="tx1"/>
            </w14:solidFill>
          </w14:textFill>
        </w:rPr>
        <w:t>区域：恩城街道、东成镇、横陂镇、圣堂镇。</w:t>
      </w:r>
    </w:p>
    <w:p w14:paraId="4BCACBD0">
      <w:pPr>
        <w:ind w:firstLine="640" w:firstLineChars="200"/>
        <w:rPr>
          <w:rFonts w:hint="eastAsia"/>
          <w:color w:val="000000" w:themeColor="text1"/>
          <w:highlight w:val="none"/>
          <w14:textFill>
            <w14:solidFill>
              <w14:schemeClr w14:val="tx1"/>
            </w14:solidFill>
          </w14:textFill>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4</w:t>
      </w:r>
      <w:r>
        <w:rPr>
          <w:rFonts w:hint="eastAsia" w:ascii="Times New Roman" w:hAnsi="Times New Roman" w:eastAsia="仿宋_GB2312" w:cs="仿宋_GB2312"/>
          <w:color w:val="auto"/>
          <w:sz w:val="32"/>
          <w:szCs w:val="32"/>
          <w:lang w:val="en-US" w:eastAsia="zh-CN"/>
        </w:rPr>
        <w:t>家</w:t>
      </w:r>
    </w:p>
    <w:p w14:paraId="5E807FAB">
      <w:pPr>
        <w:ind w:firstLine="640" w:firstLineChars="200"/>
        <w:rPr>
          <w:rFonts w:hint="eastAsia"/>
          <w:color w:val="auto"/>
          <w:highlight w:val="none"/>
        </w:rPr>
      </w:pPr>
      <w:r>
        <w:rPr>
          <w:rFonts w:hint="eastAsia"/>
          <w:color w:val="auto"/>
          <w:highlight w:val="none"/>
        </w:rPr>
        <w:t>检查方式：定向检查。</w:t>
      </w:r>
    </w:p>
    <w:p w14:paraId="1F89968B">
      <w:pPr>
        <w:ind w:firstLine="640" w:firstLineChars="200"/>
        <w:rPr>
          <w:rFonts w:hint="eastAsia"/>
          <w:color w:val="auto"/>
          <w:highlight w:val="none"/>
        </w:rPr>
      </w:pPr>
      <w:r>
        <w:rPr>
          <w:rFonts w:hint="eastAsia"/>
          <w:color w:val="auto"/>
          <w:highlight w:val="none"/>
        </w:rPr>
        <w:t>计划检查次数：</w:t>
      </w:r>
      <w:r>
        <w:rPr>
          <w:rFonts w:hint="eastAsia"/>
          <w:color w:val="auto"/>
          <w:highlight w:val="none"/>
          <w:lang w:val="en-US" w:eastAsia="zh-CN"/>
        </w:rPr>
        <w:t>1</w:t>
      </w:r>
      <w:r>
        <w:rPr>
          <w:rFonts w:hint="eastAsia"/>
          <w:color w:val="auto"/>
          <w:highlight w:val="none"/>
        </w:rPr>
        <w:t>次。</w:t>
      </w:r>
    </w:p>
    <w:p w14:paraId="2C6E110E">
      <w:pPr>
        <w:ind w:firstLine="640" w:firstLineChars="200"/>
        <w:rPr>
          <w:rFonts w:hint="eastAsia"/>
          <w:color w:val="auto"/>
          <w:highlight w:val="none"/>
        </w:rPr>
      </w:pPr>
      <w:r>
        <w:rPr>
          <w:rFonts w:hint="eastAsia"/>
          <w:color w:val="auto"/>
          <w:highlight w:val="none"/>
        </w:rPr>
        <w:t>负责股室：危险化学品安全监管股。</w:t>
      </w:r>
    </w:p>
    <w:p w14:paraId="5860AF56">
      <w:pPr>
        <w:ind w:firstLine="640" w:firstLineChars="200"/>
        <w:rPr>
          <w:rFonts w:hint="eastAsia"/>
          <w:color w:val="auto"/>
          <w:highlight w:val="none"/>
        </w:rPr>
      </w:pPr>
      <w:r>
        <w:rPr>
          <w:rFonts w:hint="eastAsia"/>
          <w:color w:val="auto"/>
          <w:highlight w:val="none"/>
        </w:rPr>
        <w:t>时间安排：202</w:t>
      </w:r>
      <w:r>
        <w:rPr>
          <w:rFonts w:hint="eastAsia"/>
          <w:color w:val="auto"/>
          <w:highlight w:val="none"/>
          <w:lang w:val="en-US" w:eastAsia="zh-CN"/>
        </w:rPr>
        <w:t>5</w:t>
      </w:r>
      <w:r>
        <w:rPr>
          <w:rFonts w:hint="eastAsia"/>
          <w:color w:val="auto"/>
          <w:highlight w:val="none"/>
        </w:rPr>
        <w:t>年12月30日前。</w:t>
      </w:r>
    </w:p>
    <w:p w14:paraId="1D25C37C">
      <w:pPr>
        <w:spacing w:line="560" w:lineRule="exact"/>
        <w:ind w:firstLine="643" w:firstLineChars="200"/>
        <w:rPr>
          <w:rFonts w:hint="eastAsia"/>
          <w:b/>
          <w:color w:val="auto"/>
          <w:highlight w:val="none"/>
        </w:rPr>
      </w:pPr>
      <w:r>
        <w:rPr>
          <w:rFonts w:hint="eastAsia"/>
          <w:b/>
          <w:color w:val="auto"/>
          <w:highlight w:val="none"/>
          <w:lang w:val="en-US" w:eastAsia="zh-CN"/>
        </w:rPr>
        <w:t>12</w:t>
      </w:r>
      <w:r>
        <w:rPr>
          <w:rFonts w:hint="eastAsia"/>
          <w:b/>
          <w:color w:val="auto"/>
          <w:highlight w:val="none"/>
        </w:rPr>
        <w:t>.一般危险化学品生产企业安全生产责任落实及危险化学品注册安全工程师履职检查（1家）。</w:t>
      </w:r>
    </w:p>
    <w:p w14:paraId="32FE05D4">
      <w:pPr>
        <w:ind w:firstLine="640" w:firstLineChars="200"/>
        <w:rPr>
          <w:rFonts w:hint="eastAsia"/>
          <w:color w:val="auto"/>
          <w:highlight w:val="none"/>
        </w:rPr>
      </w:pPr>
      <w:r>
        <w:rPr>
          <w:rFonts w:hint="eastAsia"/>
          <w:color w:val="auto"/>
          <w:highlight w:val="none"/>
        </w:rPr>
        <w:t>重点区域：</w:t>
      </w:r>
      <w:r>
        <w:rPr>
          <w:rFonts w:hint="eastAsia"/>
          <w:color w:val="auto"/>
          <w:highlight w:val="none"/>
          <w:lang w:val="en-US" w:eastAsia="zh-CN"/>
        </w:rPr>
        <w:t>东成镇</w:t>
      </w:r>
      <w:r>
        <w:rPr>
          <w:rFonts w:hint="eastAsia"/>
          <w:color w:val="auto"/>
          <w:highlight w:val="none"/>
        </w:rPr>
        <w:t>。</w:t>
      </w:r>
    </w:p>
    <w:p w14:paraId="75A68C27">
      <w:pPr>
        <w:ind w:firstLine="640" w:firstLineChars="200"/>
        <w:rPr>
          <w:rFonts w:hint="eastAsia"/>
          <w:color w:val="auto"/>
          <w:highlight w:val="none"/>
        </w:rPr>
      </w:pPr>
      <w:r>
        <w:rPr>
          <w:rFonts w:hint="eastAsia" w:ascii="Times New Roman" w:hAnsi="Times New Roman" w:eastAsia="仿宋_GB2312" w:cs="仿宋_GB2312"/>
          <w:b w:val="0"/>
          <w:bCs w:val="0"/>
          <w:color w:val="auto"/>
          <w:sz w:val="32"/>
          <w:szCs w:val="32"/>
        </w:rPr>
        <w:t>重点单位数量</w:t>
      </w:r>
      <w:r>
        <w:rPr>
          <w:rFonts w:hint="eastAsia" w:ascii="Times New Roman" w:hAnsi="Times New Roman" w:eastAsia="仿宋_GB2312" w:cs="仿宋_GB2312"/>
          <w:color w:val="auto"/>
          <w:sz w:val="32"/>
          <w:szCs w:val="32"/>
          <w:lang w:val="en-US" w:eastAsia="zh-CN"/>
        </w:rPr>
        <w:t>：</w:t>
      </w:r>
      <w:r>
        <w:rPr>
          <w:rFonts w:hint="eastAsia" w:ascii="Times New Roman" w:hAnsi="Times New Roman" w:cs="仿宋_GB2312"/>
          <w:color w:val="auto"/>
          <w:sz w:val="32"/>
          <w:szCs w:val="32"/>
          <w:lang w:val="en-US" w:eastAsia="zh-CN"/>
        </w:rPr>
        <w:t>1</w:t>
      </w:r>
      <w:r>
        <w:rPr>
          <w:rFonts w:hint="eastAsia" w:ascii="Times New Roman" w:hAnsi="Times New Roman" w:eastAsia="仿宋_GB2312" w:cs="仿宋_GB2312"/>
          <w:color w:val="auto"/>
          <w:sz w:val="32"/>
          <w:szCs w:val="32"/>
          <w:lang w:val="en-US" w:eastAsia="zh-CN"/>
        </w:rPr>
        <w:t>家</w:t>
      </w:r>
    </w:p>
    <w:p w14:paraId="2D7B2EC2">
      <w:pPr>
        <w:ind w:firstLine="640" w:firstLineChars="200"/>
        <w:rPr>
          <w:rFonts w:hint="eastAsia"/>
          <w:color w:val="auto"/>
          <w:highlight w:val="none"/>
        </w:rPr>
      </w:pPr>
      <w:r>
        <w:rPr>
          <w:rFonts w:hint="eastAsia"/>
          <w:color w:val="auto"/>
          <w:highlight w:val="none"/>
        </w:rPr>
        <w:t>检查方式：定向检查。</w:t>
      </w:r>
    </w:p>
    <w:p w14:paraId="38C7FA35">
      <w:pPr>
        <w:ind w:firstLine="640" w:firstLineChars="200"/>
        <w:rPr>
          <w:rFonts w:hint="eastAsia"/>
          <w:color w:val="auto"/>
          <w:highlight w:val="none"/>
        </w:rPr>
      </w:pPr>
      <w:r>
        <w:rPr>
          <w:rFonts w:hint="eastAsia"/>
          <w:color w:val="auto"/>
          <w:highlight w:val="none"/>
        </w:rPr>
        <w:t>计划检查次数：2次。</w:t>
      </w:r>
    </w:p>
    <w:p w14:paraId="20F01060">
      <w:pPr>
        <w:ind w:firstLine="640" w:firstLineChars="200"/>
        <w:rPr>
          <w:rFonts w:hint="eastAsia"/>
          <w:color w:val="auto"/>
          <w:highlight w:val="none"/>
        </w:rPr>
      </w:pPr>
      <w:r>
        <w:rPr>
          <w:rFonts w:hint="eastAsia"/>
          <w:color w:val="auto"/>
          <w:highlight w:val="none"/>
        </w:rPr>
        <w:t>负责股室：危险化学品安全监管股。</w:t>
      </w:r>
    </w:p>
    <w:p w14:paraId="4AF567D1">
      <w:pPr>
        <w:ind w:firstLine="640" w:firstLineChars="200"/>
        <w:rPr>
          <w:rFonts w:hint="eastAsia"/>
          <w:color w:val="auto"/>
          <w:highlight w:val="none"/>
        </w:rPr>
      </w:pPr>
      <w:r>
        <w:rPr>
          <w:rFonts w:hint="eastAsia"/>
          <w:color w:val="auto"/>
          <w:highlight w:val="none"/>
        </w:rPr>
        <w:t>时间安排：202</w:t>
      </w:r>
      <w:r>
        <w:rPr>
          <w:rFonts w:hint="eastAsia"/>
          <w:color w:val="auto"/>
          <w:highlight w:val="none"/>
          <w:lang w:val="en-US" w:eastAsia="zh-CN"/>
        </w:rPr>
        <w:t>5</w:t>
      </w:r>
      <w:r>
        <w:rPr>
          <w:rFonts w:hint="eastAsia"/>
          <w:color w:val="auto"/>
          <w:highlight w:val="none"/>
        </w:rPr>
        <w:t>年12月30日前。</w:t>
      </w:r>
    </w:p>
    <w:p w14:paraId="1AA1F933">
      <w:pPr>
        <w:spacing w:line="560" w:lineRule="exact"/>
        <w:ind w:firstLine="640" w:firstLineChars="200"/>
        <w:rPr>
          <w:rFonts w:ascii="楷体_GB2312" w:eastAsia="楷体_GB2312"/>
          <w:color w:val="000000" w:themeColor="text1"/>
          <w14:textFill>
            <w14:solidFill>
              <w14:schemeClr w14:val="tx1"/>
            </w14:solidFill>
          </w14:textFill>
        </w:rPr>
      </w:pPr>
      <w:r>
        <w:rPr>
          <w:rFonts w:hint="eastAsia" w:ascii="楷体_GB2312" w:eastAsia="楷体_GB2312"/>
          <w:color w:val="000000" w:themeColor="text1"/>
          <w14:textFill>
            <w14:solidFill>
              <w14:schemeClr w14:val="tx1"/>
            </w14:solidFill>
          </w14:textFill>
        </w:rPr>
        <w:t>（二）一般检查项目。</w:t>
      </w:r>
    </w:p>
    <w:p w14:paraId="52EF1098">
      <w:pPr>
        <w:spacing w:line="560" w:lineRule="exact"/>
        <w:ind w:firstLine="64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1. </w:t>
      </w:r>
      <w:r>
        <w:rPr>
          <w:color w:val="000000" w:themeColor="text1"/>
          <w14:textFill>
            <w14:solidFill>
              <w14:schemeClr w14:val="tx1"/>
            </w14:solidFill>
          </w14:textFill>
        </w:rPr>
        <w:t>将重点检查单位以外的生产经营单位确定为202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年度一般检查单位范围，涉及</w:t>
      </w:r>
      <w:r>
        <w:rPr>
          <w:rFonts w:hint="eastAsia"/>
          <w:color w:val="000000" w:themeColor="text1"/>
          <w14:textFill>
            <w14:solidFill>
              <w14:schemeClr w14:val="tx1"/>
            </w14:solidFill>
          </w14:textFill>
        </w:rPr>
        <w:t>重大危险源企业、</w:t>
      </w:r>
      <w:r>
        <w:rPr>
          <w:color w:val="000000" w:themeColor="text1"/>
          <w14:textFill>
            <w14:solidFill>
              <w14:schemeClr w14:val="tx1"/>
            </w14:solidFill>
          </w14:textFill>
        </w:rPr>
        <w:t>烟花爆竹批发经营企业、加油站、危险化学品纯贸易经营许可企业、化工企业、烟花爆竹零售单位、其他非煤矿山企业、其他</w:t>
      </w:r>
      <w:r>
        <w:rPr>
          <w:rFonts w:hint="eastAsia"/>
          <w:color w:val="000000" w:themeColor="text1"/>
          <w14:textFill>
            <w14:solidFill>
              <w14:schemeClr w14:val="tx1"/>
            </w14:solidFill>
          </w14:textFill>
        </w:rPr>
        <w:t>危险化学品使用和</w:t>
      </w:r>
      <w:r>
        <w:rPr>
          <w:color w:val="000000" w:themeColor="text1"/>
          <w14:textFill>
            <w14:solidFill>
              <w14:schemeClr w14:val="tx1"/>
            </w14:solidFill>
          </w14:textFill>
        </w:rPr>
        <w:t>非药品类易制毒化学品使用的工贸企业、机械行业单位、纺织行业单位、轻工行业单位等。</w:t>
      </w:r>
    </w:p>
    <w:p w14:paraId="57A98BEE">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一般检查单位数量及检查频次。</w:t>
      </w:r>
    </w:p>
    <w:p w14:paraId="4E0BAFC2">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在年度一般检查单位范围内，将按照一定比例随机抽取方式，会同镇街开展不少于1次监督执法检查。对于</w:t>
      </w:r>
      <w:r>
        <w:rPr>
          <w:rFonts w:hint="eastAsia"/>
          <w:color w:val="000000" w:themeColor="text1"/>
          <w14:textFill>
            <w14:solidFill>
              <w14:schemeClr w14:val="tx1"/>
            </w14:solidFill>
          </w14:textFill>
        </w:rPr>
        <w:t>重大危险源企业、</w:t>
      </w:r>
      <w:r>
        <w:rPr>
          <w:color w:val="000000" w:themeColor="text1"/>
          <w14:textFill>
            <w14:solidFill>
              <w14:schemeClr w14:val="tx1"/>
            </w14:solidFill>
          </w14:textFill>
        </w:rPr>
        <w:t>烟花爆竹批发经营企业的监督执法检查，可视情况由上级部门会同我局联合开展。</w:t>
      </w:r>
    </w:p>
    <w:p w14:paraId="360F177B">
      <w:pPr>
        <w:spacing w:line="560" w:lineRule="exact"/>
        <w:ind w:firstLine="640" w:firstLineChars="200"/>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五、组织实施</w:t>
      </w:r>
    </w:p>
    <w:p w14:paraId="76B857AF">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本计划涉及的现场监督检查和随机抽查必须通过</w:t>
      </w:r>
      <w:r>
        <w:rPr>
          <w:rFonts w:hint="eastAsia"/>
          <w:color w:val="000000" w:themeColor="text1"/>
          <w14:textFill>
            <w14:solidFill>
              <w14:schemeClr w14:val="tx1"/>
            </w14:solidFill>
          </w14:textFill>
        </w:rPr>
        <w:t>“广东省安全生产执法信息系统”</w:t>
      </w:r>
      <w:r>
        <w:rPr>
          <w:color w:val="000000" w:themeColor="text1"/>
          <w14:textFill>
            <w14:solidFill>
              <w14:schemeClr w14:val="tx1"/>
            </w14:solidFill>
          </w14:textFill>
        </w:rPr>
        <w:t>来组织实施。</w:t>
      </w:r>
    </w:p>
    <w:p w14:paraId="6F421F3C">
      <w:pPr>
        <w:spacing w:line="560" w:lineRule="exact"/>
        <w:ind w:firstLine="640" w:firstLineChars="200"/>
        <w:rPr>
          <w:rFonts w:ascii="楷体_GB2312" w:eastAsia="楷体_GB2312"/>
          <w:color w:val="000000" w:themeColor="text1"/>
          <w14:textFill>
            <w14:solidFill>
              <w14:schemeClr w14:val="tx1"/>
            </w14:solidFill>
          </w14:textFill>
        </w:rPr>
      </w:pPr>
      <w:r>
        <w:rPr>
          <w:rFonts w:hint="eastAsia" w:ascii="楷体_GB2312" w:eastAsia="楷体_GB2312"/>
          <w:color w:val="000000" w:themeColor="text1"/>
          <w14:textFill>
            <w14:solidFill>
              <w14:schemeClr w14:val="tx1"/>
            </w14:solidFill>
          </w14:textFill>
        </w:rPr>
        <w:t>（一）现场监督检查。</w:t>
      </w:r>
    </w:p>
    <w:p w14:paraId="5DE0FD33">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制定现场检查方案。各有关股室在进行监督检查前，应当依照监督检查计划的要求，综合分析被检查对象生产经营性质、重点环节、重点场所、</w:t>
      </w:r>
      <w:r>
        <w:rPr>
          <w:rFonts w:hint="eastAsia"/>
          <w:color w:val="000000" w:themeColor="text1"/>
          <w14:textFill>
            <w14:solidFill>
              <w14:schemeClr w14:val="tx1"/>
            </w14:solidFill>
          </w14:textFill>
        </w:rPr>
        <w:t>风险防控部位</w:t>
      </w:r>
      <w:r>
        <w:rPr>
          <w:color w:val="000000" w:themeColor="text1"/>
          <w14:textFill>
            <w14:solidFill>
              <w14:schemeClr w14:val="tx1"/>
            </w14:solidFill>
          </w14:textFill>
        </w:rPr>
        <w:t>等因素，有针对性地制定《现场检查方案》，</w:t>
      </w:r>
      <w:r>
        <w:rPr>
          <w:rFonts w:hint="eastAsia"/>
          <w:color w:val="000000" w:themeColor="text1"/>
          <w14:textFill>
            <w14:solidFill>
              <w14:schemeClr w14:val="tx1"/>
            </w14:solidFill>
          </w14:textFill>
        </w:rPr>
        <w:t>通过广东省安全生产执法信息系统经有关负责人审核批准后实施。</w:t>
      </w:r>
      <w:r>
        <w:rPr>
          <w:color w:val="000000" w:themeColor="text1"/>
          <w14:textFill>
            <w14:solidFill>
              <w14:schemeClr w14:val="tx1"/>
            </w14:solidFill>
          </w14:textFill>
        </w:rPr>
        <w:t>《现场检</w:t>
      </w:r>
      <w:r>
        <w:rPr>
          <w:rFonts w:hint="eastAsia" w:ascii="宋体" w:hAnsi="宋体" w:eastAsia="宋体" w:cs="宋体"/>
          <w:color w:val="000000" w:themeColor="text1"/>
          <w14:textFill>
            <w14:solidFill>
              <w14:schemeClr w14:val="tx1"/>
            </w14:solidFill>
          </w14:textFill>
        </w:rPr>
        <w:t>査</w:t>
      </w:r>
      <w:r>
        <w:rPr>
          <w:rFonts w:hint="eastAsia" w:ascii="仿宋_GB2312" w:hAnsi="仿宋_GB2312" w:cs="仿宋_GB2312"/>
          <w:color w:val="000000" w:themeColor="text1"/>
          <w14:textFill>
            <w14:solidFill>
              <w14:schemeClr w14:val="tx1"/>
            </w14:solidFill>
          </w14:textFill>
        </w:rPr>
        <w:t>方案》应包括被检查对象名称、地址、联系人、检查时间、行政执法人员、检查内容、检查方式等事项。</w:t>
      </w:r>
    </w:p>
    <w:p w14:paraId="1D3D7C32">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实施现场监督检查。各有关股室应按照法定程序和权限，对照《现场检查方案》实施监督检查，要按照《广东省行政执法全过程记录办法》规定，利用现场执法记录仪、执法终端等设备，通过文字、视听等方式记录监督检查行为，实现全过程留痕和可追溯管理。根据《</w:t>
      </w:r>
      <w:r>
        <w:rPr>
          <w:rFonts w:hint="eastAsia"/>
          <w:color w:val="000000" w:themeColor="text1"/>
          <w:lang w:val="en-US" w:eastAsia="zh-CN"/>
          <w14:textFill>
            <w14:solidFill>
              <w14:schemeClr w14:val="tx1"/>
            </w14:solidFill>
          </w14:textFill>
        </w:rPr>
        <w:t>安全生产行政执法统计调查制度</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“谁执法、谁填报”</w:t>
      </w:r>
      <w:r>
        <w:rPr>
          <w:color w:val="000000" w:themeColor="text1"/>
          <w14:textFill>
            <w14:solidFill>
              <w14:schemeClr w14:val="tx1"/>
            </w14:solidFill>
          </w14:textFill>
        </w:rPr>
        <w:t>的要求，及时做好登记，每月底通过广东省安全生产执法信息系统收集整理相关数据。</w:t>
      </w:r>
    </w:p>
    <w:p w14:paraId="337377DA">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采取现场处置措施。对监督检查中发现的安全生产的问题和隐患，各有关股室应当依法采取责令立即排除、暂时停产停业、停止建设、停止施工或者停止使用等现场处理措施或行政强制措施，并根据法定程序制作并送达相应法律文书，对发现的违法行为应当依法启动行政处罚程序，并在作出行政处罚决定之日起7个工作日内在</w:t>
      </w:r>
      <w:r>
        <w:rPr>
          <w:rFonts w:hint="eastAsia"/>
          <w:color w:val="000000" w:themeColor="text1"/>
          <w14:textFill>
            <w14:solidFill>
              <w14:schemeClr w14:val="tx1"/>
            </w14:solidFill>
          </w14:textFill>
        </w:rPr>
        <w:t>“双公示”</w:t>
      </w:r>
      <w:r>
        <w:rPr>
          <w:color w:val="000000" w:themeColor="text1"/>
          <w14:textFill>
            <w14:solidFill>
              <w14:schemeClr w14:val="tx1"/>
            </w14:solidFill>
          </w14:textFill>
        </w:rPr>
        <w:t>平台（</w:t>
      </w:r>
      <w:r>
        <w:rPr>
          <w:rFonts w:hint="eastAsia"/>
          <w:color w:val="000000" w:themeColor="text1"/>
          <w14:textFill>
            <w14:solidFill>
              <w14:schemeClr w14:val="tx1"/>
            </w14:solidFill>
          </w14:textFill>
        </w:rPr>
        <w:t>公共信用信息管理系统</w:t>
      </w:r>
      <w:r>
        <w:rPr>
          <w:color w:val="000000" w:themeColor="text1"/>
          <w14:textFill>
            <w14:solidFill>
              <w14:schemeClr w14:val="tx1"/>
            </w14:solidFill>
          </w14:textFill>
        </w:rPr>
        <w:t>）公开相关信息。</w:t>
      </w:r>
    </w:p>
    <w:p w14:paraId="6035659F">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跟踪整改落实情况。各有关股室要定时跟踪隐患整改情况，督促企业对重大事故隐患做到治理责任、措施、资金、期限和应急预案</w:t>
      </w:r>
      <w:r>
        <w:rPr>
          <w:rFonts w:hint="eastAsia"/>
          <w:color w:val="000000" w:themeColor="text1"/>
          <w14:textFill>
            <w14:solidFill>
              <w14:schemeClr w14:val="tx1"/>
            </w14:solidFill>
          </w14:textFill>
        </w:rPr>
        <w:t>“五落实”</w:t>
      </w:r>
      <w:r>
        <w:rPr>
          <w:color w:val="000000" w:themeColor="text1"/>
          <w14:textFill>
            <w14:solidFill>
              <w14:schemeClr w14:val="tx1"/>
            </w14:solidFill>
          </w14:textFill>
        </w:rPr>
        <w:t>，确保隐患问题整治到位</w:t>
      </w:r>
      <w:r>
        <w:rPr>
          <w:rFonts w:hint="eastAsia"/>
          <w:color w:val="000000" w:themeColor="text1"/>
          <w14:textFill>
            <w14:solidFill>
              <w14:schemeClr w14:val="tx1"/>
            </w14:solidFill>
          </w14:textFill>
        </w:rPr>
        <w:t>，防止违法行为“死灰复燃”</w:t>
      </w:r>
      <w:r>
        <w:rPr>
          <w:color w:val="000000" w:themeColor="text1"/>
          <w14:textFill>
            <w14:solidFill>
              <w14:schemeClr w14:val="tx1"/>
            </w14:solidFill>
          </w14:textFill>
        </w:rPr>
        <w:t>。</w:t>
      </w:r>
    </w:p>
    <w:p w14:paraId="075620FE">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完善现场检查档案。现场检查结束后，各有关股室应及时完善现场检查资料，并按照一企一档的要求建立监督检查档案。档案应包括</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《现场检查方案》、《现场检查记录》、现场处理、行政强制、整改复查等相关法律文书及企业营业执照复印件、现场检查照片和视听资料等相关材料。</w:t>
      </w:r>
    </w:p>
    <w:p w14:paraId="437F38BB">
      <w:pPr>
        <w:spacing w:line="560" w:lineRule="exact"/>
        <w:ind w:firstLine="640" w:firstLineChars="200"/>
        <w:rPr>
          <w:rFonts w:ascii="楷体_GB2312" w:eastAsia="楷体_GB2312"/>
          <w:color w:val="000000" w:themeColor="text1"/>
          <w14:textFill>
            <w14:solidFill>
              <w14:schemeClr w14:val="tx1"/>
            </w14:solidFill>
          </w14:textFill>
        </w:rPr>
      </w:pPr>
      <w:r>
        <w:rPr>
          <w:rFonts w:hint="eastAsia" w:ascii="楷体_GB2312" w:eastAsia="楷体_GB2312"/>
          <w:color w:val="000000" w:themeColor="text1"/>
          <w14:textFill>
            <w14:solidFill>
              <w14:schemeClr w14:val="tx1"/>
            </w14:solidFill>
          </w14:textFill>
        </w:rPr>
        <w:t>（二）随机抽查。</w:t>
      </w:r>
    </w:p>
    <w:p w14:paraId="28B08D0D">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各有关股室应当采</w:t>
      </w:r>
      <w:r>
        <w:rPr>
          <w:rFonts w:hint="eastAsia"/>
          <w:color w:val="000000" w:themeColor="text1"/>
          <w14:textFill>
            <w14:solidFill>
              <w14:schemeClr w14:val="tx1"/>
            </w14:solidFill>
          </w14:textFill>
        </w:rPr>
        <w:t>用“双随机”抽</w:t>
      </w:r>
      <w:r>
        <w:rPr>
          <w:color w:val="000000" w:themeColor="text1"/>
          <w14:textFill>
            <w14:solidFill>
              <w14:schemeClr w14:val="tx1"/>
            </w14:solidFill>
          </w14:textFill>
        </w:rPr>
        <w:t>查方式实施监督检查。在实施对一般检查单位开展监督检查时，因监督检查人员数量、专业等限制难以实</w:t>
      </w:r>
      <w:r>
        <w:rPr>
          <w:rFonts w:hint="eastAsia"/>
          <w:color w:val="000000" w:themeColor="text1"/>
          <w14:textFill>
            <w14:solidFill>
              <w14:schemeClr w14:val="tx1"/>
            </w14:solidFill>
          </w14:textFill>
        </w:rPr>
        <w:t>施“双随机”抽</w:t>
      </w:r>
      <w:r>
        <w:rPr>
          <w:color w:val="000000" w:themeColor="text1"/>
          <w14:textFill>
            <w14:solidFill>
              <w14:schemeClr w14:val="tx1"/>
            </w14:solidFill>
          </w14:textFill>
        </w:rPr>
        <w:t>查的，应当随机选取被检查单位，并可根据执法检查装备水平、执法车辆使用及工作经费等实际情况，定向随机选取被检查单位。</w:t>
      </w:r>
    </w:p>
    <w:p w14:paraId="35BCAC0A">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各有关股室在开展监督检查前，应通过登录省或者市相关系统随机产生执法人员和执法检查对象，做到随机抽查全程留痕，实现检查对象和执法检查人员之间的随机匹配。</w:t>
      </w:r>
      <w:r>
        <w:rPr>
          <w:rFonts w:hint="eastAsia"/>
          <w:color w:val="000000" w:themeColor="text1"/>
          <w14:textFill>
            <w14:solidFill>
              <w14:schemeClr w14:val="tx1"/>
            </w14:solidFill>
          </w14:textFill>
        </w:rPr>
        <w:t>采用“双随机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一公开”方式开展检查的，各有关股室应按照规定在</w:t>
      </w:r>
      <w:r>
        <w:rPr>
          <w:color w:val="000000" w:themeColor="text1"/>
          <w14:textFill>
            <w14:solidFill>
              <w14:schemeClr w14:val="tx1"/>
            </w14:solidFill>
          </w14:textFill>
        </w:rPr>
        <w:t>相关系统</w:t>
      </w:r>
      <w:r>
        <w:rPr>
          <w:rFonts w:hint="eastAsia"/>
          <w:color w:val="000000" w:themeColor="text1"/>
          <w14:textFill>
            <w14:solidFill>
              <w14:schemeClr w14:val="tx1"/>
            </w14:solidFill>
          </w14:textFill>
        </w:rPr>
        <w:t>公开“双随机”监督检查结果，接受社会监督。</w:t>
      </w:r>
    </w:p>
    <w:p w14:paraId="0B77BEBD">
      <w:pPr>
        <w:spacing w:line="560" w:lineRule="exact"/>
        <w:ind w:firstLine="640" w:firstLineChars="200"/>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六、相关要求</w:t>
      </w:r>
    </w:p>
    <w:p w14:paraId="60E2D089">
      <w:pPr>
        <w:spacing w:line="560" w:lineRule="exact"/>
        <w:ind w:firstLine="640" w:firstLineChars="200"/>
        <w:rPr>
          <w:color w:val="000000" w:themeColor="text1"/>
          <w14:textFill>
            <w14:solidFill>
              <w14:schemeClr w14:val="tx1"/>
            </w14:solidFill>
          </w14:textFill>
        </w:rPr>
      </w:pPr>
      <w:r>
        <w:rPr>
          <w:rFonts w:hint="eastAsia" w:ascii="楷体_GB2312" w:eastAsia="楷体_GB2312"/>
          <w:color w:val="000000" w:themeColor="text1"/>
          <w14:textFill>
            <w14:solidFill>
              <w14:schemeClr w14:val="tx1"/>
            </w14:solidFill>
          </w14:textFill>
        </w:rPr>
        <w:t>（一）</w:t>
      </w:r>
      <w:r>
        <w:rPr>
          <w:rFonts w:hint="eastAsia" w:ascii="楷体_GB2312" w:eastAsia="楷体_GB2312"/>
          <w:bCs/>
          <w:color w:val="000000" w:themeColor="text1"/>
          <w14:textFill>
            <w14:solidFill>
              <w14:schemeClr w14:val="tx1"/>
            </w14:solidFill>
          </w14:textFill>
        </w:rPr>
        <w:t>科学规划，精心组织开展监督检查</w:t>
      </w:r>
      <w:r>
        <w:rPr>
          <w:rFonts w:hint="eastAsia" w:ascii="楷体_GB2312" w:eastAsia="楷体_GB2312"/>
          <w:color w:val="000000" w:themeColor="text1"/>
          <w14:textFill>
            <w14:solidFill>
              <w14:schemeClr w14:val="tx1"/>
            </w14:solidFill>
          </w14:textFill>
        </w:rPr>
        <w:t>。</w:t>
      </w:r>
      <w:r>
        <w:rPr>
          <w:rFonts w:hint="eastAsia" w:ascii="仿宋_GB2312" w:hAnsi="仿宋_GB2312" w:cs="仿宋_GB2312"/>
          <w:color w:val="000000" w:themeColor="text1"/>
          <w:kern w:val="0"/>
          <w14:textFill>
            <w14:solidFill>
              <w14:schemeClr w14:val="tx1"/>
            </w14:solidFill>
          </w14:textFill>
        </w:rPr>
        <w:t>监督检查作为守护安全生产基本盘的重要手段，是防范化解重大安全风险的有效抓手。</w:t>
      </w:r>
      <w:r>
        <w:rPr>
          <w:color w:val="000000" w:themeColor="text1"/>
          <w14:textFill>
            <w14:solidFill>
              <w14:schemeClr w14:val="tx1"/>
            </w14:solidFill>
          </w14:textFill>
        </w:rPr>
        <w:t>各有关股室</w:t>
      </w:r>
      <w:r>
        <w:rPr>
          <w:rFonts w:hint="eastAsia" w:ascii="仿宋_GB2312" w:hAnsi="仿宋_GB2312" w:cs="仿宋_GB2312"/>
          <w:color w:val="000000" w:themeColor="text1"/>
          <w:kern w:val="0"/>
          <w14:textFill>
            <w14:solidFill>
              <w14:schemeClr w14:val="tx1"/>
            </w14:solidFill>
          </w14:textFill>
        </w:rPr>
        <w:t>要深刻认识实施监督检查计划在安全监管工作履职尽责中的导向作用，</w:t>
      </w:r>
      <w:r>
        <w:rPr>
          <w:color w:val="000000" w:themeColor="text1"/>
          <w14:textFill>
            <w14:solidFill>
              <w14:schemeClr w14:val="tx1"/>
            </w14:solidFill>
          </w14:textFill>
        </w:rPr>
        <w:t>严格按照计划开展监督检查，结合</w:t>
      </w:r>
      <w:r>
        <w:rPr>
          <w:rFonts w:hint="eastAsia"/>
          <w:color w:val="000000" w:themeColor="text1"/>
          <w14:textFill>
            <w14:solidFill>
              <w14:schemeClr w14:val="tx1"/>
            </w14:solidFill>
          </w14:textFill>
        </w:rPr>
        <w:t>分类分级监管有关规定、</w:t>
      </w:r>
      <w:r>
        <w:rPr>
          <w:color w:val="000000" w:themeColor="text1"/>
          <w14:textFill>
            <w14:solidFill>
              <w14:schemeClr w14:val="tx1"/>
            </w14:solidFill>
          </w14:textFill>
        </w:rPr>
        <w:t>安全生产重点时段、重要敏感时期和季节特点以及上级应急管理部门的工作部署等实际，科学规划，统筹推进计划落实。同时，要做好年度计划实施过程的统计、分析和总结工作。</w:t>
      </w:r>
    </w:p>
    <w:p w14:paraId="31071A29">
      <w:pPr>
        <w:spacing w:line="560" w:lineRule="exact"/>
        <w:ind w:firstLine="640" w:firstLineChars="200"/>
      </w:pPr>
      <w:r>
        <w:rPr>
          <w:rFonts w:ascii="楷体_GB2312" w:eastAsia="楷体_GB2312"/>
          <w:color w:val="000000" w:themeColor="text1"/>
          <w14:textFill>
            <w14:solidFill>
              <w14:schemeClr w14:val="tx1"/>
            </w14:solidFill>
          </w14:textFill>
        </w:rPr>
        <w:t>（二）</w:t>
      </w:r>
      <w:r>
        <w:rPr>
          <w:rFonts w:hint="eastAsia" w:ascii="楷体_GB2312" w:eastAsia="楷体_GB2312"/>
          <w:bCs/>
          <w:color w:val="000000" w:themeColor="text1"/>
          <w14:textFill>
            <w14:solidFill>
              <w14:schemeClr w14:val="tx1"/>
            </w14:solidFill>
          </w14:textFill>
        </w:rPr>
        <w:t>规范行为，严格按程序开展监督检查</w:t>
      </w:r>
      <w:r>
        <w:rPr>
          <w:rFonts w:ascii="楷体_GB2312" w:eastAsia="楷体_GB2312"/>
          <w:color w:val="000000" w:themeColor="text1"/>
          <w14:textFill>
            <w14:solidFill>
              <w14:schemeClr w14:val="tx1"/>
            </w14:solidFill>
          </w14:textFill>
        </w:rPr>
        <w:t>。</w:t>
      </w:r>
      <w:r>
        <w:rPr>
          <w:color w:val="000000" w:themeColor="text1"/>
          <w14:textFill>
            <w14:solidFill>
              <w14:schemeClr w14:val="tx1"/>
            </w14:solidFill>
          </w14:textFill>
        </w:rPr>
        <w:t>各有关股室要按照《安全生产监管执法手册》、《安全生产监管执法程序规定》、</w:t>
      </w:r>
      <w:r>
        <w:rPr>
          <w:rFonts w:hint="eastAsia"/>
          <w:color w:val="000000" w:themeColor="text1"/>
          <w14:textFill>
            <w14:solidFill>
              <w14:schemeClr w14:val="tx1"/>
            </w14:solidFill>
          </w14:textFill>
        </w:rPr>
        <w:t>《江门市乡镇街道综合行政执法统筹协调工作规程（试行）》、《江门市乡镇街道综合行政执法工作制度（试行）》</w:t>
      </w:r>
      <w:r>
        <w:rPr>
          <w:color w:val="000000" w:themeColor="text1"/>
          <w14:textFill>
            <w14:solidFill>
              <w14:schemeClr w14:val="tx1"/>
            </w14:solidFill>
          </w14:textFill>
        </w:rPr>
        <w:t>等有关要求，依法依规行使职权，加强对镇街的行政执法业务指导，</w:t>
      </w:r>
      <w:r>
        <w:rPr>
          <w:rFonts w:hint="eastAsia"/>
          <w:color w:val="000000" w:themeColor="text1"/>
          <w14:textFill>
            <w14:solidFill>
              <w14:schemeClr w14:val="tx1"/>
            </w14:solidFill>
          </w14:textFill>
        </w:rPr>
        <w:t>正确使用法律条款，规范制作各类执法文书，严格现场检查、调查取证和证据采集程序，认真贯彻执行行政程序规定，依法依规行使职权。</w:t>
      </w:r>
      <w:r>
        <w:rPr>
          <w:color w:val="000000" w:themeColor="text1"/>
          <w14:textFill>
            <w14:solidFill>
              <w14:schemeClr w14:val="tx1"/>
            </w14:solidFill>
          </w14:textFill>
        </w:rPr>
        <w:t>要按照《安全生产行政执法规范用语指引》，规范使</w:t>
      </w:r>
      <w:r>
        <w:t>用安全生产执法用语要按照国务院关于全面推行行政执法公示制度、执法全过程记录制度、重大执法决定法制审核制度的要求，全面做好监督检查全部过程进行记录，全面系统归档保存，做到执法全过程留痕和可回溯管理。</w:t>
      </w:r>
    </w:p>
    <w:p w14:paraId="1497D858">
      <w:pPr>
        <w:spacing w:line="560" w:lineRule="exact"/>
        <w:ind w:firstLine="640" w:firstLineChars="200"/>
      </w:pPr>
      <w:r>
        <w:rPr>
          <w:rFonts w:ascii="楷体_GB2312" w:eastAsia="楷体_GB2312"/>
        </w:rPr>
        <w:t>（三）</w:t>
      </w:r>
      <w:r>
        <w:rPr>
          <w:rFonts w:hint="eastAsia" w:ascii="楷体_GB2312" w:eastAsia="楷体_GB2312"/>
          <w:bCs/>
        </w:rPr>
        <w:t>从严执法，督促落实企业主体责任</w:t>
      </w:r>
      <w:r>
        <w:rPr>
          <w:rFonts w:ascii="楷体_GB2312" w:eastAsia="楷体_GB2312"/>
        </w:rPr>
        <w:t>。</w:t>
      </w:r>
      <w:r>
        <w:t>各有关股室要</w:t>
      </w:r>
      <w:r>
        <w:rPr>
          <w:rFonts w:hint="eastAsia"/>
        </w:rPr>
        <w:t>分析、研判职责范围内行业领域的安全生产特点、难点和突出问题，重点加强对非煤矿山、危险化学品、烟花爆竹、有限空间、涉爆粉尘等行业领域的监督检查，</w:t>
      </w:r>
      <w:r>
        <w:t>加大执法处罚力度，</w:t>
      </w:r>
      <w:r>
        <w:rPr>
          <w:rFonts w:hint="eastAsia"/>
        </w:rPr>
        <w:t>综合运用罚款、查封扣押、停产停电停供等各类执法手段，严格落实“四个一律”执法措施，</w:t>
      </w:r>
      <w:r>
        <w:t>严厉依法查处各类违法违规违章行为，督促企业全面落实安全生产主体责任。同时，要按照《安全生产领域失信行为开展联合惩戒的实施办法》要求，将存在严重违法违规行为的失信企业及其有关人员及时纳入</w:t>
      </w:r>
      <w:r>
        <w:rPr>
          <w:rFonts w:hint="eastAsia"/>
        </w:rPr>
        <w:t>安全生产失信惩戒名单，提升执法工作的严肃性和震慑力</w:t>
      </w:r>
      <w:r>
        <w:t>。对涉嫌犯罪的，要</w:t>
      </w:r>
      <w:r>
        <w:rPr>
          <w:rFonts w:hint="eastAsia"/>
        </w:rPr>
        <w:t>按照《安全生产行政执法与刑事司法衔接工作办法》（应急〔2019〕54号）</w:t>
      </w:r>
      <w:r>
        <w:t>及时移交司法机关，充分发挥司法手段对安全生产违法犯罪行为的威慑力。</w:t>
      </w:r>
    </w:p>
    <w:p w14:paraId="1459A47F">
      <w:pPr>
        <w:spacing w:line="560" w:lineRule="exact"/>
        <w:ind w:firstLine="640" w:firstLineChars="200"/>
      </w:pPr>
      <w:r>
        <w:rPr>
          <w:rFonts w:ascii="楷体_GB2312" w:eastAsia="楷体_GB2312"/>
        </w:rPr>
        <w:t>（四）营造良好法治氛围。</w:t>
      </w:r>
      <w:r>
        <w:t>各有关股室</w:t>
      </w:r>
      <w:r>
        <w:rPr>
          <w:rFonts w:hint="eastAsia"/>
        </w:rPr>
        <w:t>要</w:t>
      </w:r>
      <w:r>
        <w:t>寓服务于监管执法之中，</w:t>
      </w:r>
      <w:r>
        <w:rPr>
          <w:rFonts w:hint="eastAsia"/>
        </w:rPr>
        <w:t>充分运用以案释法，加大宣传教育、指导服务力度，做到执法一家规范一家，教育一片、带动一片。要按照“谁执法谁普法”要求，把普法挺在前头，从处罚整改到全面自查自改的转变，积极营造良好的法治营商环境，提升社会治理法治化水平</w:t>
      </w:r>
      <w:r>
        <w:t>。</w:t>
      </w:r>
    </w:p>
    <w:p w14:paraId="5C17CB0E">
      <w:pPr>
        <w:spacing w:line="560" w:lineRule="exact"/>
      </w:pPr>
    </w:p>
    <w:p w14:paraId="62684A9D">
      <w:pPr>
        <w:spacing w:line="560" w:lineRule="exact"/>
        <w:ind w:firstLine="640" w:firstLineChars="200"/>
      </w:pPr>
      <w:r>
        <w:t>附件</w:t>
      </w:r>
      <w:r>
        <w:rPr>
          <w:rFonts w:hint="eastAsia"/>
          <w:lang w:eastAsia="zh-CN"/>
        </w:rPr>
        <w:t>：</w:t>
      </w:r>
      <w:r>
        <w:t>1.恩平市应急管理局202</w:t>
      </w:r>
      <w:r>
        <w:rPr>
          <w:rFonts w:hint="eastAsia"/>
          <w:lang w:val="en-US" w:eastAsia="zh-CN"/>
        </w:rPr>
        <w:t>5</w:t>
      </w:r>
      <w:r>
        <w:t>年度执法工作日测算表</w:t>
      </w:r>
    </w:p>
    <w:p w14:paraId="659618ED">
      <w:pPr>
        <w:spacing w:line="560" w:lineRule="exact"/>
        <w:ind w:left="1600" w:leftChars="500" w:firstLine="0" w:firstLineChars="0"/>
      </w:pPr>
      <w:r>
        <w:t>2.恩平市应急管理局202</w:t>
      </w:r>
      <w:r>
        <w:rPr>
          <w:rFonts w:hint="eastAsia"/>
          <w:lang w:val="en-US" w:eastAsia="zh-CN"/>
        </w:rPr>
        <w:t>5</w:t>
      </w:r>
      <w:r>
        <w:t>年度安全生产监督检查重点单位名单</w:t>
      </w:r>
    </w:p>
    <w:p w14:paraId="59D5D2B4">
      <w:pPr>
        <w:spacing w:line="560" w:lineRule="exact"/>
        <w:ind w:firstLine="1600" w:firstLineChars="500"/>
      </w:pPr>
      <w:r>
        <w:t>3.恩平市应急管理局202</w:t>
      </w:r>
      <w:r>
        <w:rPr>
          <w:rFonts w:hint="eastAsia"/>
          <w:lang w:val="en-US" w:eastAsia="zh-CN"/>
        </w:rPr>
        <w:t>5</w:t>
      </w:r>
      <w:r>
        <w:t>年度一般监督检查安排表</w:t>
      </w:r>
    </w:p>
    <w:p w14:paraId="1B0071AD">
      <w:pPr>
        <w:spacing w:line="560" w:lineRule="exact"/>
        <w:sectPr>
          <w:footerReference r:id="rId3" w:type="default"/>
          <w:pgSz w:w="11906" w:h="16838"/>
          <w:pgMar w:top="1417" w:right="1417" w:bottom="1417" w:left="1417" w:header="851" w:footer="992" w:gutter="0"/>
          <w:pgNumType w:fmt="decimal" w:start="1"/>
          <w:cols w:space="720" w:num="1"/>
          <w:docGrid w:type="lines" w:linePitch="312" w:charSpace="0"/>
        </w:sectPr>
      </w:pPr>
    </w:p>
    <w:p w14:paraId="42A2B1C3">
      <w:pPr>
        <w:jc w:val="left"/>
        <w:rPr>
          <w:rFonts w:ascii="仿宋_GB2312" w:hAnsi="仿宋_GB2312" w:cs="仿宋_GB2312"/>
        </w:rPr>
      </w:pPr>
      <w:r>
        <w:rPr>
          <w:rFonts w:hint="eastAsia" w:ascii="仿宋_GB2312" w:hAnsi="仿宋_GB2312" w:cs="仿宋_GB2312"/>
        </w:rPr>
        <w:t>附件</w:t>
      </w:r>
      <w:r>
        <w:t>1</w:t>
      </w:r>
    </w:p>
    <w:p w14:paraId="4B3B603B">
      <w:pPr>
        <w:spacing w:line="600" w:lineRule="exact"/>
        <w:jc w:val="center"/>
        <w:rPr>
          <w:rFonts w:eastAsia="方正小标宋简体"/>
          <w:b/>
          <w:bCs/>
          <w:color w:val="000000" w:themeColor="text1"/>
          <w:sz w:val="44"/>
          <w:szCs w:val="44"/>
          <w14:textFill>
            <w14:solidFill>
              <w14:schemeClr w14:val="tx1"/>
            </w14:solidFill>
          </w14:textFill>
        </w:rPr>
      </w:pPr>
      <w:r>
        <w:rPr>
          <w:rFonts w:hint="eastAsia" w:eastAsia="方正小标宋简体"/>
          <w:color w:val="000000" w:themeColor="text1"/>
          <w:sz w:val="44"/>
          <w:szCs w:val="44"/>
          <w14:textFill>
            <w14:solidFill>
              <w14:schemeClr w14:val="tx1"/>
            </w14:solidFill>
          </w14:textFill>
        </w:rPr>
        <w:t>恩平市</w:t>
      </w:r>
      <w:r>
        <w:rPr>
          <w:rFonts w:eastAsia="方正小标宋简体"/>
          <w:color w:val="000000" w:themeColor="text1"/>
          <w:sz w:val="44"/>
          <w:szCs w:val="44"/>
          <w14:textFill>
            <w14:solidFill>
              <w14:schemeClr w14:val="tx1"/>
            </w14:solidFill>
          </w14:textFill>
        </w:rPr>
        <w:t>应急管理</w:t>
      </w:r>
      <w:r>
        <w:rPr>
          <w:rFonts w:hint="eastAsia" w:eastAsia="方正小标宋简体"/>
          <w:color w:val="000000" w:themeColor="text1"/>
          <w:sz w:val="44"/>
          <w:szCs w:val="44"/>
          <w14:textFill>
            <w14:solidFill>
              <w14:schemeClr w14:val="tx1"/>
            </w14:solidFill>
          </w14:textFill>
        </w:rPr>
        <w:t>局</w:t>
      </w:r>
      <w:r>
        <w:rPr>
          <w:rFonts w:eastAsia="方正小标宋简体"/>
          <w:color w:val="000000" w:themeColor="text1"/>
          <w:sz w:val="44"/>
          <w:szCs w:val="44"/>
          <w14:textFill>
            <w14:solidFill>
              <w14:schemeClr w14:val="tx1"/>
            </w14:solidFill>
          </w14:textFill>
        </w:rPr>
        <w:t>20</w:t>
      </w:r>
      <w:r>
        <w:rPr>
          <w:rFonts w:hint="eastAsia" w:eastAsia="方正小标宋简体"/>
          <w:color w:val="000000" w:themeColor="text1"/>
          <w:sz w:val="44"/>
          <w:szCs w:val="44"/>
          <w14:textFill>
            <w14:solidFill>
              <w14:schemeClr w14:val="tx1"/>
            </w14:solidFill>
          </w14:textFill>
        </w:rPr>
        <w:t>2</w:t>
      </w:r>
      <w:r>
        <w:rPr>
          <w:rFonts w:hint="eastAsia" w:eastAsia="方正小标宋简体"/>
          <w:color w:val="000000" w:themeColor="text1"/>
          <w:sz w:val="44"/>
          <w:szCs w:val="44"/>
          <w:lang w:val="en-US" w:eastAsia="zh-CN"/>
          <w14:textFill>
            <w14:solidFill>
              <w14:schemeClr w14:val="tx1"/>
            </w14:solidFill>
          </w14:textFill>
        </w:rPr>
        <w:t>5</w:t>
      </w:r>
      <w:r>
        <w:rPr>
          <w:rFonts w:eastAsia="方正小标宋简体"/>
          <w:color w:val="000000" w:themeColor="text1"/>
          <w:sz w:val="44"/>
          <w:szCs w:val="44"/>
          <w14:textFill>
            <w14:solidFill>
              <w14:schemeClr w14:val="tx1"/>
            </w14:solidFill>
          </w14:textFill>
        </w:rPr>
        <w:t>年度执法工作日测算表</w:t>
      </w:r>
    </w:p>
    <w:tbl>
      <w:tblPr>
        <w:tblStyle w:val="5"/>
        <w:tblW w:w="15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9"/>
        <w:gridCol w:w="607"/>
        <w:gridCol w:w="630"/>
        <w:gridCol w:w="840"/>
        <w:gridCol w:w="630"/>
        <w:gridCol w:w="677"/>
        <w:gridCol w:w="688"/>
        <w:gridCol w:w="735"/>
        <w:gridCol w:w="735"/>
        <w:gridCol w:w="840"/>
        <w:gridCol w:w="630"/>
        <w:gridCol w:w="630"/>
        <w:gridCol w:w="1005"/>
        <w:gridCol w:w="660"/>
        <w:gridCol w:w="735"/>
        <w:gridCol w:w="660"/>
        <w:gridCol w:w="630"/>
        <w:gridCol w:w="480"/>
        <w:gridCol w:w="690"/>
        <w:gridCol w:w="975"/>
        <w:gridCol w:w="1070"/>
      </w:tblGrid>
      <w:tr w14:paraId="76973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blHeader/>
          <w:jc w:val="center"/>
        </w:trPr>
        <w:tc>
          <w:tcPr>
            <w:tcW w:w="1409" w:type="dxa"/>
            <w:vMerge w:val="restart"/>
            <w:vAlign w:val="center"/>
          </w:tcPr>
          <w:p w14:paraId="686B106E">
            <w:pPr>
              <w:spacing w:line="30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负责</w:t>
            </w:r>
            <w:r>
              <w:rPr>
                <w:rFonts w:hint="eastAsia"/>
                <w:b/>
                <w:bCs/>
                <w:color w:val="000000" w:themeColor="text1"/>
                <w:sz w:val="18"/>
                <w:szCs w:val="18"/>
                <w14:textFill>
                  <w14:solidFill>
                    <w14:schemeClr w14:val="tx1"/>
                  </w14:solidFill>
                </w14:textFill>
              </w:rPr>
              <w:t>股室</w:t>
            </w:r>
            <w:r>
              <w:rPr>
                <w:b/>
                <w:bCs/>
                <w:color w:val="000000" w:themeColor="text1"/>
                <w:sz w:val="18"/>
                <w:szCs w:val="18"/>
                <w14:textFill>
                  <w14:solidFill>
                    <w14:schemeClr w14:val="tx1"/>
                  </w14:solidFill>
                </w14:textFill>
              </w:rPr>
              <w:t>/人员</w:t>
            </w:r>
          </w:p>
        </w:tc>
        <w:tc>
          <w:tcPr>
            <w:tcW w:w="1237" w:type="dxa"/>
            <w:gridSpan w:val="2"/>
            <w:vMerge w:val="restart"/>
            <w:vAlign w:val="center"/>
          </w:tcPr>
          <w:p w14:paraId="5B2C9BB5">
            <w:pPr>
              <w:spacing w:line="30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执法人员数量（单位：人）</w:t>
            </w:r>
          </w:p>
        </w:tc>
        <w:tc>
          <w:tcPr>
            <w:tcW w:w="840" w:type="dxa"/>
            <w:vMerge w:val="restart"/>
            <w:vAlign w:val="center"/>
          </w:tcPr>
          <w:p w14:paraId="660C9DAD">
            <w:pPr>
              <w:spacing w:line="300" w:lineRule="exact"/>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总法定工作日</w:t>
            </w:r>
            <w:r>
              <w:rPr>
                <w:rFonts w:hint="eastAsia"/>
                <w:b/>
                <w:bCs/>
                <w:color w:val="000000" w:themeColor="text1"/>
                <w:sz w:val="18"/>
                <w:szCs w:val="18"/>
                <w:lang w:eastAsia="zh-CN"/>
                <w14:textFill>
                  <w14:solidFill>
                    <w14:schemeClr w14:val="tx1"/>
                  </w14:solidFill>
                </w14:textFill>
              </w:rPr>
              <w:t>（</w:t>
            </w:r>
            <w:r>
              <w:rPr>
                <w:b/>
                <w:bCs/>
                <w:color w:val="000000" w:themeColor="text1"/>
                <w:sz w:val="18"/>
                <w:szCs w:val="18"/>
                <w14:textFill>
                  <w14:solidFill>
                    <w14:schemeClr w14:val="tx1"/>
                  </w14:solidFill>
                </w14:textFill>
              </w:rPr>
              <w:t>单位：天）</w:t>
            </w:r>
          </w:p>
        </w:tc>
        <w:tc>
          <w:tcPr>
            <w:tcW w:w="6570" w:type="dxa"/>
            <w:gridSpan w:val="9"/>
            <w:vAlign w:val="center"/>
          </w:tcPr>
          <w:p w14:paraId="5F4CD7C4">
            <w:pPr>
              <w:spacing w:line="30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其他执法工作日（单位：天）</w:t>
            </w:r>
          </w:p>
        </w:tc>
        <w:tc>
          <w:tcPr>
            <w:tcW w:w="3855" w:type="dxa"/>
            <w:gridSpan w:val="6"/>
            <w:vAlign w:val="center"/>
          </w:tcPr>
          <w:p w14:paraId="47705E4E">
            <w:pPr>
              <w:spacing w:line="30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非执法工作日（单位：天）</w:t>
            </w:r>
          </w:p>
        </w:tc>
        <w:tc>
          <w:tcPr>
            <w:tcW w:w="2045" w:type="dxa"/>
            <w:gridSpan w:val="2"/>
            <w:vMerge w:val="restart"/>
            <w:vAlign w:val="center"/>
          </w:tcPr>
          <w:p w14:paraId="3C16AEE8">
            <w:pPr>
              <w:spacing w:line="30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监督检查工作日（单位：天）</w:t>
            </w:r>
          </w:p>
        </w:tc>
      </w:tr>
      <w:tr w14:paraId="1A4DF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blHeader/>
          <w:jc w:val="center"/>
        </w:trPr>
        <w:tc>
          <w:tcPr>
            <w:tcW w:w="1409" w:type="dxa"/>
            <w:vMerge w:val="continue"/>
            <w:vAlign w:val="center"/>
          </w:tcPr>
          <w:p w14:paraId="145EC5BD">
            <w:pPr>
              <w:jc w:val="center"/>
              <w:rPr>
                <w:b/>
                <w:bCs/>
                <w:color w:val="000000" w:themeColor="text1"/>
                <w:sz w:val="18"/>
                <w:szCs w:val="18"/>
                <w14:textFill>
                  <w14:solidFill>
                    <w14:schemeClr w14:val="tx1"/>
                  </w14:solidFill>
                </w14:textFill>
              </w:rPr>
            </w:pPr>
          </w:p>
        </w:tc>
        <w:tc>
          <w:tcPr>
            <w:tcW w:w="1237" w:type="dxa"/>
            <w:gridSpan w:val="2"/>
            <w:vMerge w:val="continue"/>
            <w:vAlign w:val="center"/>
          </w:tcPr>
          <w:p w14:paraId="04E98D57">
            <w:pPr>
              <w:jc w:val="center"/>
              <w:rPr>
                <w:b/>
                <w:bCs/>
                <w:color w:val="000000" w:themeColor="text1"/>
                <w:sz w:val="18"/>
                <w:szCs w:val="18"/>
                <w14:textFill>
                  <w14:solidFill>
                    <w14:schemeClr w14:val="tx1"/>
                  </w14:solidFill>
                </w14:textFill>
              </w:rPr>
            </w:pPr>
          </w:p>
        </w:tc>
        <w:tc>
          <w:tcPr>
            <w:tcW w:w="840" w:type="dxa"/>
            <w:vMerge w:val="continue"/>
            <w:vAlign w:val="center"/>
          </w:tcPr>
          <w:p w14:paraId="09A48A6B">
            <w:pPr>
              <w:jc w:val="center"/>
              <w:rPr>
                <w:b/>
                <w:bCs/>
                <w:color w:val="000000" w:themeColor="text1"/>
                <w:sz w:val="18"/>
                <w:szCs w:val="18"/>
                <w14:textFill>
                  <w14:solidFill>
                    <w14:schemeClr w14:val="tx1"/>
                  </w14:solidFill>
                </w14:textFill>
              </w:rPr>
            </w:pPr>
          </w:p>
        </w:tc>
        <w:tc>
          <w:tcPr>
            <w:tcW w:w="630" w:type="dxa"/>
            <w:vMerge w:val="restart"/>
            <w:vAlign w:val="center"/>
          </w:tcPr>
          <w:p w14:paraId="0D7C0CAB">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开展安全生产综合监管</w:t>
            </w:r>
          </w:p>
        </w:tc>
        <w:tc>
          <w:tcPr>
            <w:tcW w:w="677" w:type="dxa"/>
            <w:vMerge w:val="restart"/>
            <w:vAlign w:val="center"/>
          </w:tcPr>
          <w:p w14:paraId="69C93EA0">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实施行政许可</w:t>
            </w:r>
          </w:p>
        </w:tc>
        <w:tc>
          <w:tcPr>
            <w:tcW w:w="688" w:type="dxa"/>
            <w:vMerge w:val="restart"/>
            <w:vAlign w:val="center"/>
          </w:tcPr>
          <w:p w14:paraId="68D115C3">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组织生产安全事故调查和处理</w:t>
            </w:r>
          </w:p>
        </w:tc>
        <w:tc>
          <w:tcPr>
            <w:tcW w:w="735" w:type="dxa"/>
            <w:vMerge w:val="restart"/>
            <w:vAlign w:val="center"/>
          </w:tcPr>
          <w:p w14:paraId="6860CDC1">
            <w:pPr>
              <w:spacing w:line="240" w:lineRule="exact"/>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调查核实安全生产投诉举报</w:t>
            </w:r>
          </w:p>
        </w:tc>
        <w:tc>
          <w:tcPr>
            <w:tcW w:w="735" w:type="dxa"/>
            <w:vMerge w:val="restart"/>
            <w:vAlign w:val="center"/>
          </w:tcPr>
          <w:p w14:paraId="3E49432F">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参加有关部门联合执法</w:t>
            </w:r>
          </w:p>
        </w:tc>
        <w:tc>
          <w:tcPr>
            <w:tcW w:w="840" w:type="dxa"/>
            <w:vMerge w:val="restart"/>
            <w:vAlign w:val="center"/>
          </w:tcPr>
          <w:p w14:paraId="71505544">
            <w:pPr>
              <w:spacing w:line="240" w:lineRule="exact"/>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办理有关法律、法规、规章规定的登记备案</w:t>
            </w:r>
          </w:p>
        </w:tc>
        <w:tc>
          <w:tcPr>
            <w:tcW w:w="630" w:type="dxa"/>
            <w:vMerge w:val="restart"/>
            <w:vAlign w:val="center"/>
          </w:tcPr>
          <w:p w14:paraId="698BD422">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开展安全生产宣传教育培训</w:t>
            </w:r>
          </w:p>
        </w:tc>
        <w:tc>
          <w:tcPr>
            <w:tcW w:w="630" w:type="dxa"/>
            <w:vMerge w:val="restart"/>
            <w:vAlign w:val="center"/>
          </w:tcPr>
          <w:p w14:paraId="3E15D59F">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行政复议、行政应诉</w:t>
            </w:r>
          </w:p>
        </w:tc>
        <w:tc>
          <w:tcPr>
            <w:tcW w:w="1005" w:type="dxa"/>
            <w:vMerge w:val="restart"/>
            <w:vAlign w:val="center"/>
          </w:tcPr>
          <w:p w14:paraId="0DA13873">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完成本级人民政府或者上级应急管理部门安排的执法工作任务</w:t>
            </w:r>
          </w:p>
        </w:tc>
        <w:tc>
          <w:tcPr>
            <w:tcW w:w="660" w:type="dxa"/>
            <w:vMerge w:val="restart"/>
            <w:vAlign w:val="center"/>
          </w:tcPr>
          <w:p w14:paraId="48FBA8EC">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机关值班</w:t>
            </w:r>
          </w:p>
        </w:tc>
        <w:tc>
          <w:tcPr>
            <w:tcW w:w="735" w:type="dxa"/>
            <w:vMerge w:val="restart"/>
            <w:vAlign w:val="center"/>
          </w:tcPr>
          <w:p w14:paraId="32CC431E">
            <w:pPr>
              <w:spacing w:line="240" w:lineRule="exact"/>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学习、培训、考核、会议</w:t>
            </w:r>
          </w:p>
        </w:tc>
        <w:tc>
          <w:tcPr>
            <w:tcW w:w="660" w:type="dxa"/>
            <w:vMerge w:val="restart"/>
            <w:vAlign w:val="center"/>
          </w:tcPr>
          <w:p w14:paraId="1D924DAB">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检查指导下级应急管理部门工作</w:t>
            </w:r>
          </w:p>
        </w:tc>
        <w:tc>
          <w:tcPr>
            <w:tcW w:w="630" w:type="dxa"/>
            <w:vMerge w:val="restart"/>
            <w:vAlign w:val="center"/>
          </w:tcPr>
          <w:p w14:paraId="6041570D">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参加党群活动</w:t>
            </w:r>
          </w:p>
        </w:tc>
        <w:tc>
          <w:tcPr>
            <w:tcW w:w="480" w:type="dxa"/>
            <w:vMerge w:val="restart"/>
            <w:vAlign w:val="center"/>
          </w:tcPr>
          <w:p w14:paraId="0E490904">
            <w:pPr>
              <w:spacing w:line="240" w:lineRule="exact"/>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病假、事假</w:t>
            </w:r>
          </w:p>
        </w:tc>
        <w:tc>
          <w:tcPr>
            <w:tcW w:w="690" w:type="dxa"/>
            <w:vMerge w:val="restart"/>
            <w:vAlign w:val="center"/>
          </w:tcPr>
          <w:p w14:paraId="5CC150D7">
            <w:pPr>
              <w:spacing w:line="24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法定年休假、探亲假、婚（丧）假等</w:t>
            </w:r>
          </w:p>
        </w:tc>
        <w:tc>
          <w:tcPr>
            <w:tcW w:w="2045" w:type="dxa"/>
            <w:gridSpan w:val="2"/>
            <w:vMerge w:val="continue"/>
          </w:tcPr>
          <w:p w14:paraId="2D2DC109">
            <w:pPr>
              <w:jc w:val="center"/>
              <w:rPr>
                <w:color w:val="000000" w:themeColor="text1"/>
                <w:sz w:val="18"/>
                <w:szCs w:val="18"/>
                <w14:textFill>
                  <w14:solidFill>
                    <w14:schemeClr w14:val="tx1"/>
                  </w14:solidFill>
                </w14:textFill>
              </w:rPr>
            </w:pPr>
          </w:p>
        </w:tc>
      </w:tr>
      <w:tr w14:paraId="362F4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1409" w:type="dxa"/>
            <w:vMerge w:val="continue"/>
            <w:vAlign w:val="center"/>
          </w:tcPr>
          <w:p w14:paraId="74905AFA">
            <w:pPr>
              <w:spacing w:line="240" w:lineRule="exact"/>
              <w:jc w:val="center"/>
              <w:rPr>
                <w:color w:val="000000" w:themeColor="text1"/>
                <w:sz w:val="18"/>
                <w:szCs w:val="18"/>
                <w14:textFill>
                  <w14:solidFill>
                    <w14:schemeClr w14:val="tx1"/>
                  </w14:solidFill>
                </w14:textFill>
              </w:rPr>
            </w:pPr>
          </w:p>
        </w:tc>
        <w:tc>
          <w:tcPr>
            <w:tcW w:w="607" w:type="dxa"/>
            <w:vMerge w:val="restart"/>
            <w:vAlign w:val="center"/>
          </w:tcPr>
          <w:p w14:paraId="40AEB5EC">
            <w:pPr>
              <w:spacing w:line="22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现有人员数量</w:t>
            </w:r>
          </w:p>
        </w:tc>
        <w:tc>
          <w:tcPr>
            <w:tcW w:w="630" w:type="dxa"/>
            <w:vMerge w:val="restart"/>
            <w:vAlign w:val="center"/>
          </w:tcPr>
          <w:p w14:paraId="099506F0">
            <w:pPr>
              <w:spacing w:line="220" w:lineRule="exact"/>
              <w:jc w:val="center"/>
              <w:rPr>
                <w:b/>
                <w:bCs/>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纳入计算人员数量</w:t>
            </w:r>
          </w:p>
        </w:tc>
        <w:tc>
          <w:tcPr>
            <w:tcW w:w="840" w:type="dxa"/>
            <w:vMerge w:val="continue"/>
            <w:vAlign w:val="center"/>
          </w:tcPr>
          <w:p w14:paraId="17FC333C">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11377308">
            <w:pPr>
              <w:spacing w:line="300" w:lineRule="exact"/>
              <w:jc w:val="center"/>
              <w:rPr>
                <w:color w:val="000000" w:themeColor="text1"/>
                <w:sz w:val="18"/>
                <w:szCs w:val="18"/>
                <w14:textFill>
                  <w14:solidFill>
                    <w14:schemeClr w14:val="tx1"/>
                  </w14:solidFill>
                </w14:textFill>
              </w:rPr>
            </w:pPr>
          </w:p>
        </w:tc>
        <w:tc>
          <w:tcPr>
            <w:tcW w:w="677" w:type="dxa"/>
            <w:vMerge w:val="continue"/>
            <w:vAlign w:val="center"/>
          </w:tcPr>
          <w:p w14:paraId="7BE89C5E">
            <w:pPr>
              <w:spacing w:line="300" w:lineRule="exact"/>
              <w:jc w:val="center"/>
              <w:rPr>
                <w:color w:val="000000" w:themeColor="text1"/>
                <w:sz w:val="18"/>
                <w:szCs w:val="18"/>
                <w14:textFill>
                  <w14:solidFill>
                    <w14:schemeClr w14:val="tx1"/>
                  </w14:solidFill>
                </w14:textFill>
              </w:rPr>
            </w:pPr>
          </w:p>
        </w:tc>
        <w:tc>
          <w:tcPr>
            <w:tcW w:w="688" w:type="dxa"/>
            <w:vMerge w:val="continue"/>
            <w:vAlign w:val="center"/>
          </w:tcPr>
          <w:p w14:paraId="6FD7B074">
            <w:pPr>
              <w:spacing w:line="300" w:lineRule="exact"/>
              <w:jc w:val="center"/>
              <w:rPr>
                <w:color w:val="000000" w:themeColor="text1"/>
                <w:sz w:val="18"/>
                <w:szCs w:val="18"/>
                <w14:textFill>
                  <w14:solidFill>
                    <w14:schemeClr w14:val="tx1"/>
                  </w14:solidFill>
                </w14:textFill>
              </w:rPr>
            </w:pPr>
          </w:p>
        </w:tc>
        <w:tc>
          <w:tcPr>
            <w:tcW w:w="735" w:type="dxa"/>
            <w:vMerge w:val="continue"/>
            <w:vAlign w:val="center"/>
          </w:tcPr>
          <w:p w14:paraId="2FA7C731">
            <w:pPr>
              <w:spacing w:line="300" w:lineRule="exact"/>
              <w:jc w:val="center"/>
              <w:rPr>
                <w:color w:val="000000" w:themeColor="text1"/>
                <w:sz w:val="18"/>
                <w:szCs w:val="18"/>
                <w14:textFill>
                  <w14:solidFill>
                    <w14:schemeClr w14:val="tx1"/>
                  </w14:solidFill>
                </w14:textFill>
              </w:rPr>
            </w:pPr>
          </w:p>
        </w:tc>
        <w:tc>
          <w:tcPr>
            <w:tcW w:w="735" w:type="dxa"/>
            <w:vMerge w:val="continue"/>
            <w:vAlign w:val="center"/>
          </w:tcPr>
          <w:p w14:paraId="1C74EB3C">
            <w:pPr>
              <w:spacing w:line="300" w:lineRule="exact"/>
              <w:jc w:val="center"/>
              <w:rPr>
                <w:color w:val="000000" w:themeColor="text1"/>
                <w:sz w:val="18"/>
                <w:szCs w:val="18"/>
                <w14:textFill>
                  <w14:solidFill>
                    <w14:schemeClr w14:val="tx1"/>
                  </w14:solidFill>
                </w14:textFill>
              </w:rPr>
            </w:pPr>
          </w:p>
        </w:tc>
        <w:tc>
          <w:tcPr>
            <w:tcW w:w="840" w:type="dxa"/>
            <w:vMerge w:val="continue"/>
            <w:vAlign w:val="center"/>
          </w:tcPr>
          <w:p w14:paraId="12F18E5A">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21E63991">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00AAA457">
            <w:pPr>
              <w:spacing w:line="300" w:lineRule="exact"/>
              <w:jc w:val="center"/>
              <w:rPr>
                <w:color w:val="000000" w:themeColor="text1"/>
                <w:sz w:val="18"/>
                <w:szCs w:val="18"/>
                <w14:textFill>
                  <w14:solidFill>
                    <w14:schemeClr w14:val="tx1"/>
                  </w14:solidFill>
                </w14:textFill>
              </w:rPr>
            </w:pPr>
          </w:p>
        </w:tc>
        <w:tc>
          <w:tcPr>
            <w:tcW w:w="1005" w:type="dxa"/>
            <w:vMerge w:val="continue"/>
            <w:vAlign w:val="center"/>
          </w:tcPr>
          <w:p w14:paraId="68A99971">
            <w:pPr>
              <w:spacing w:line="300" w:lineRule="exact"/>
              <w:jc w:val="center"/>
              <w:rPr>
                <w:color w:val="000000" w:themeColor="text1"/>
                <w:sz w:val="18"/>
                <w:szCs w:val="18"/>
                <w14:textFill>
                  <w14:solidFill>
                    <w14:schemeClr w14:val="tx1"/>
                  </w14:solidFill>
                </w14:textFill>
              </w:rPr>
            </w:pPr>
          </w:p>
        </w:tc>
        <w:tc>
          <w:tcPr>
            <w:tcW w:w="660" w:type="dxa"/>
            <w:vMerge w:val="continue"/>
            <w:vAlign w:val="center"/>
          </w:tcPr>
          <w:p w14:paraId="056E738E">
            <w:pPr>
              <w:spacing w:line="300" w:lineRule="exact"/>
              <w:jc w:val="center"/>
              <w:rPr>
                <w:color w:val="000000" w:themeColor="text1"/>
                <w:sz w:val="18"/>
                <w:szCs w:val="18"/>
                <w14:textFill>
                  <w14:solidFill>
                    <w14:schemeClr w14:val="tx1"/>
                  </w14:solidFill>
                </w14:textFill>
              </w:rPr>
            </w:pPr>
          </w:p>
        </w:tc>
        <w:tc>
          <w:tcPr>
            <w:tcW w:w="735" w:type="dxa"/>
            <w:vMerge w:val="continue"/>
            <w:vAlign w:val="center"/>
          </w:tcPr>
          <w:p w14:paraId="2D5C8655">
            <w:pPr>
              <w:spacing w:line="300" w:lineRule="exact"/>
              <w:jc w:val="center"/>
              <w:rPr>
                <w:color w:val="000000" w:themeColor="text1"/>
                <w:sz w:val="18"/>
                <w:szCs w:val="18"/>
                <w14:textFill>
                  <w14:solidFill>
                    <w14:schemeClr w14:val="tx1"/>
                  </w14:solidFill>
                </w14:textFill>
              </w:rPr>
            </w:pPr>
          </w:p>
        </w:tc>
        <w:tc>
          <w:tcPr>
            <w:tcW w:w="660" w:type="dxa"/>
            <w:vMerge w:val="continue"/>
            <w:vAlign w:val="center"/>
          </w:tcPr>
          <w:p w14:paraId="771A3994">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4D86E4B2">
            <w:pPr>
              <w:spacing w:line="300" w:lineRule="exact"/>
              <w:jc w:val="center"/>
              <w:rPr>
                <w:color w:val="000000" w:themeColor="text1"/>
                <w:sz w:val="18"/>
                <w:szCs w:val="18"/>
                <w14:textFill>
                  <w14:solidFill>
                    <w14:schemeClr w14:val="tx1"/>
                  </w14:solidFill>
                </w14:textFill>
              </w:rPr>
            </w:pPr>
          </w:p>
        </w:tc>
        <w:tc>
          <w:tcPr>
            <w:tcW w:w="480" w:type="dxa"/>
            <w:vMerge w:val="continue"/>
            <w:vAlign w:val="center"/>
          </w:tcPr>
          <w:p w14:paraId="7D693970">
            <w:pPr>
              <w:spacing w:line="300" w:lineRule="exact"/>
              <w:jc w:val="center"/>
              <w:rPr>
                <w:color w:val="000000" w:themeColor="text1"/>
                <w:sz w:val="18"/>
                <w:szCs w:val="18"/>
                <w14:textFill>
                  <w14:solidFill>
                    <w14:schemeClr w14:val="tx1"/>
                  </w14:solidFill>
                </w14:textFill>
              </w:rPr>
            </w:pPr>
          </w:p>
        </w:tc>
        <w:tc>
          <w:tcPr>
            <w:tcW w:w="690" w:type="dxa"/>
            <w:vMerge w:val="continue"/>
            <w:vAlign w:val="center"/>
          </w:tcPr>
          <w:p w14:paraId="2C550553">
            <w:pPr>
              <w:spacing w:line="300" w:lineRule="exact"/>
              <w:jc w:val="center"/>
              <w:rPr>
                <w:color w:val="000000" w:themeColor="text1"/>
                <w:sz w:val="18"/>
                <w:szCs w:val="18"/>
                <w14:textFill>
                  <w14:solidFill>
                    <w14:schemeClr w14:val="tx1"/>
                  </w14:solidFill>
                </w14:textFill>
              </w:rPr>
            </w:pPr>
          </w:p>
        </w:tc>
        <w:tc>
          <w:tcPr>
            <w:tcW w:w="2045" w:type="dxa"/>
            <w:gridSpan w:val="2"/>
            <w:vMerge w:val="continue"/>
            <w:vAlign w:val="center"/>
          </w:tcPr>
          <w:p w14:paraId="3662BAE9">
            <w:pPr>
              <w:spacing w:line="300" w:lineRule="exact"/>
              <w:jc w:val="center"/>
              <w:rPr>
                <w:color w:val="000000" w:themeColor="text1"/>
                <w:sz w:val="18"/>
                <w:szCs w:val="18"/>
                <w14:textFill>
                  <w14:solidFill>
                    <w14:schemeClr w14:val="tx1"/>
                  </w14:solidFill>
                </w14:textFill>
              </w:rPr>
            </w:pPr>
          </w:p>
        </w:tc>
      </w:tr>
      <w:tr w14:paraId="2FB60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blHeader/>
          <w:jc w:val="center"/>
        </w:trPr>
        <w:tc>
          <w:tcPr>
            <w:tcW w:w="1409" w:type="dxa"/>
            <w:vMerge w:val="continue"/>
            <w:vAlign w:val="center"/>
          </w:tcPr>
          <w:p w14:paraId="3C17808D">
            <w:pPr>
              <w:spacing w:line="240" w:lineRule="exact"/>
              <w:jc w:val="center"/>
              <w:rPr>
                <w:color w:val="000000" w:themeColor="text1"/>
                <w:sz w:val="18"/>
                <w:szCs w:val="18"/>
                <w14:textFill>
                  <w14:solidFill>
                    <w14:schemeClr w14:val="tx1"/>
                  </w14:solidFill>
                </w14:textFill>
              </w:rPr>
            </w:pPr>
          </w:p>
        </w:tc>
        <w:tc>
          <w:tcPr>
            <w:tcW w:w="607" w:type="dxa"/>
            <w:vMerge w:val="continue"/>
            <w:vAlign w:val="center"/>
          </w:tcPr>
          <w:p w14:paraId="6AA11E4C">
            <w:pPr>
              <w:spacing w:line="220" w:lineRule="exact"/>
              <w:jc w:val="center"/>
              <w:rPr>
                <w:b/>
                <w:bCs/>
                <w:color w:val="000000" w:themeColor="text1"/>
                <w:sz w:val="18"/>
                <w:szCs w:val="18"/>
                <w14:textFill>
                  <w14:solidFill>
                    <w14:schemeClr w14:val="tx1"/>
                  </w14:solidFill>
                </w14:textFill>
              </w:rPr>
            </w:pPr>
          </w:p>
        </w:tc>
        <w:tc>
          <w:tcPr>
            <w:tcW w:w="630" w:type="dxa"/>
            <w:vMerge w:val="continue"/>
            <w:vAlign w:val="center"/>
          </w:tcPr>
          <w:p w14:paraId="2069CC08">
            <w:pPr>
              <w:spacing w:line="220" w:lineRule="exact"/>
              <w:jc w:val="center"/>
              <w:rPr>
                <w:b/>
                <w:bCs/>
                <w:color w:val="000000" w:themeColor="text1"/>
                <w:sz w:val="18"/>
                <w:szCs w:val="18"/>
                <w14:textFill>
                  <w14:solidFill>
                    <w14:schemeClr w14:val="tx1"/>
                  </w14:solidFill>
                </w14:textFill>
              </w:rPr>
            </w:pPr>
          </w:p>
        </w:tc>
        <w:tc>
          <w:tcPr>
            <w:tcW w:w="840" w:type="dxa"/>
            <w:vMerge w:val="continue"/>
            <w:vAlign w:val="center"/>
          </w:tcPr>
          <w:p w14:paraId="62CA9470">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2D443803">
            <w:pPr>
              <w:spacing w:line="300" w:lineRule="exact"/>
              <w:jc w:val="center"/>
              <w:rPr>
                <w:color w:val="000000" w:themeColor="text1"/>
                <w:sz w:val="18"/>
                <w:szCs w:val="18"/>
                <w14:textFill>
                  <w14:solidFill>
                    <w14:schemeClr w14:val="tx1"/>
                  </w14:solidFill>
                </w14:textFill>
              </w:rPr>
            </w:pPr>
          </w:p>
        </w:tc>
        <w:tc>
          <w:tcPr>
            <w:tcW w:w="677" w:type="dxa"/>
            <w:vMerge w:val="continue"/>
            <w:vAlign w:val="center"/>
          </w:tcPr>
          <w:p w14:paraId="2025F541">
            <w:pPr>
              <w:spacing w:line="300" w:lineRule="exact"/>
              <w:jc w:val="center"/>
              <w:rPr>
                <w:color w:val="000000" w:themeColor="text1"/>
                <w:sz w:val="18"/>
                <w:szCs w:val="18"/>
                <w14:textFill>
                  <w14:solidFill>
                    <w14:schemeClr w14:val="tx1"/>
                  </w14:solidFill>
                </w14:textFill>
              </w:rPr>
            </w:pPr>
          </w:p>
        </w:tc>
        <w:tc>
          <w:tcPr>
            <w:tcW w:w="688" w:type="dxa"/>
            <w:vMerge w:val="continue"/>
            <w:vAlign w:val="center"/>
          </w:tcPr>
          <w:p w14:paraId="7381EE7F">
            <w:pPr>
              <w:spacing w:line="300" w:lineRule="exact"/>
              <w:jc w:val="center"/>
              <w:rPr>
                <w:color w:val="000000" w:themeColor="text1"/>
                <w:sz w:val="18"/>
                <w:szCs w:val="18"/>
                <w14:textFill>
                  <w14:solidFill>
                    <w14:schemeClr w14:val="tx1"/>
                  </w14:solidFill>
                </w14:textFill>
              </w:rPr>
            </w:pPr>
          </w:p>
        </w:tc>
        <w:tc>
          <w:tcPr>
            <w:tcW w:w="735" w:type="dxa"/>
            <w:vMerge w:val="continue"/>
            <w:vAlign w:val="center"/>
          </w:tcPr>
          <w:p w14:paraId="2CA65DE0">
            <w:pPr>
              <w:spacing w:line="300" w:lineRule="exact"/>
              <w:jc w:val="center"/>
              <w:rPr>
                <w:color w:val="000000" w:themeColor="text1"/>
                <w:sz w:val="18"/>
                <w:szCs w:val="18"/>
                <w14:textFill>
                  <w14:solidFill>
                    <w14:schemeClr w14:val="tx1"/>
                  </w14:solidFill>
                </w14:textFill>
              </w:rPr>
            </w:pPr>
          </w:p>
        </w:tc>
        <w:tc>
          <w:tcPr>
            <w:tcW w:w="735" w:type="dxa"/>
            <w:vMerge w:val="continue"/>
            <w:vAlign w:val="center"/>
          </w:tcPr>
          <w:p w14:paraId="40D52DBE">
            <w:pPr>
              <w:spacing w:line="300" w:lineRule="exact"/>
              <w:jc w:val="center"/>
              <w:rPr>
                <w:color w:val="000000" w:themeColor="text1"/>
                <w:sz w:val="18"/>
                <w:szCs w:val="18"/>
                <w14:textFill>
                  <w14:solidFill>
                    <w14:schemeClr w14:val="tx1"/>
                  </w14:solidFill>
                </w14:textFill>
              </w:rPr>
            </w:pPr>
          </w:p>
        </w:tc>
        <w:tc>
          <w:tcPr>
            <w:tcW w:w="840" w:type="dxa"/>
            <w:vMerge w:val="continue"/>
            <w:vAlign w:val="center"/>
          </w:tcPr>
          <w:p w14:paraId="34C94D46">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25DDA0A0">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7EAC9CEC">
            <w:pPr>
              <w:spacing w:line="300" w:lineRule="exact"/>
              <w:jc w:val="center"/>
              <w:rPr>
                <w:color w:val="000000" w:themeColor="text1"/>
                <w:sz w:val="18"/>
                <w:szCs w:val="18"/>
                <w14:textFill>
                  <w14:solidFill>
                    <w14:schemeClr w14:val="tx1"/>
                  </w14:solidFill>
                </w14:textFill>
              </w:rPr>
            </w:pPr>
          </w:p>
        </w:tc>
        <w:tc>
          <w:tcPr>
            <w:tcW w:w="1005" w:type="dxa"/>
            <w:vMerge w:val="continue"/>
            <w:vAlign w:val="center"/>
          </w:tcPr>
          <w:p w14:paraId="083DB207">
            <w:pPr>
              <w:spacing w:line="300" w:lineRule="exact"/>
              <w:jc w:val="center"/>
              <w:rPr>
                <w:color w:val="000000" w:themeColor="text1"/>
                <w:sz w:val="18"/>
                <w:szCs w:val="18"/>
                <w14:textFill>
                  <w14:solidFill>
                    <w14:schemeClr w14:val="tx1"/>
                  </w14:solidFill>
                </w14:textFill>
              </w:rPr>
            </w:pPr>
          </w:p>
        </w:tc>
        <w:tc>
          <w:tcPr>
            <w:tcW w:w="660" w:type="dxa"/>
            <w:vMerge w:val="continue"/>
            <w:vAlign w:val="center"/>
          </w:tcPr>
          <w:p w14:paraId="6E38219C">
            <w:pPr>
              <w:spacing w:line="300" w:lineRule="exact"/>
              <w:jc w:val="center"/>
              <w:rPr>
                <w:color w:val="000000" w:themeColor="text1"/>
                <w:sz w:val="18"/>
                <w:szCs w:val="18"/>
                <w14:textFill>
                  <w14:solidFill>
                    <w14:schemeClr w14:val="tx1"/>
                  </w14:solidFill>
                </w14:textFill>
              </w:rPr>
            </w:pPr>
          </w:p>
        </w:tc>
        <w:tc>
          <w:tcPr>
            <w:tcW w:w="735" w:type="dxa"/>
            <w:vMerge w:val="continue"/>
            <w:vAlign w:val="center"/>
          </w:tcPr>
          <w:p w14:paraId="28C06E90">
            <w:pPr>
              <w:spacing w:line="300" w:lineRule="exact"/>
              <w:jc w:val="center"/>
              <w:rPr>
                <w:color w:val="000000" w:themeColor="text1"/>
                <w:sz w:val="18"/>
                <w:szCs w:val="18"/>
                <w14:textFill>
                  <w14:solidFill>
                    <w14:schemeClr w14:val="tx1"/>
                  </w14:solidFill>
                </w14:textFill>
              </w:rPr>
            </w:pPr>
          </w:p>
        </w:tc>
        <w:tc>
          <w:tcPr>
            <w:tcW w:w="660" w:type="dxa"/>
            <w:vMerge w:val="continue"/>
            <w:vAlign w:val="center"/>
          </w:tcPr>
          <w:p w14:paraId="7ADD77DB">
            <w:pPr>
              <w:spacing w:line="300" w:lineRule="exact"/>
              <w:jc w:val="center"/>
              <w:rPr>
                <w:color w:val="000000" w:themeColor="text1"/>
                <w:sz w:val="18"/>
                <w:szCs w:val="18"/>
                <w14:textFill>
                  <w14:solidFill>
                    <w14:schemeClr w14:val="tx1"/>
                  </w14:solidFill>
                </w14:textFill>
              </w:rPr>
            </w:pPr>
          </w:p>
        </w:tc>
        <w:tc>
          <w:tcPr>
            <w:tcW w:w="630" w:type="dxa"/>
            <w:vMerge w:val="continue"/>
            <w:vAlign w:val="center"/>
          </w:tcPr>
          <w:p w14:paraId="06EBEC86">
            <w:pPr>
              <w:spacing w:line="300" w:lineRule="exact"/>
              <w:jc w:val="center"/>
              <w:rPr>
                <w:color w:val="000000" w:themeColor="text1"/>
                <w:sz w:val="18"/>
                <w:szCs w:val="18"/>
                <w14:textFill>
                  <w14:solidFill>
                    <w14:schemeClr w14:val="tx1"/>
                  </w14:solidFill>
                </w14:textFill>
              </w:rPr>
            </w:pPr>
          </w:p>
        </w:tc>
        <w:tc>
          <w:tcPr>
            <w:tcW w:w="480" w:type="dxa"/>
            <w:vMerge w:val="continue"/>
            <w:vAlign w:val="center"/>
          </w:tcPr>
          <w:p w14:paraId="18A14509">
            <w:pPr>
              <w:spacing w:line="300" w:lineRule="exact"/>
              <w:jc w:val="center"/>
              <w:rPr>
                <w:color w:val="000000" w:themeColor="text1"/>
                <w:sz w:val="18"/>
                <w:szCs w:val="18"/>
                <w14:textFill>
                  <w14:solidFill>
                    <w14:schemeClr w14:val="tx1"/>
                  </w14:solidFill>
                </w14:textFill>
              </w:rPr>
            </w:pPr>
          </w:p>
        </w:tc>
        <w:tc>
          <w:tcPr>
            <w:tcW w:w="690" w:type="dxa"/>
            <w:vMerge w:val="continue"/>
            <w:vAlign w:val="center"/>
          </w:tcPr>
          <w:p w14:paraId="4A0FFCFD">
            <w:pPr>
              <w:spacing w:line="300" w:lineRule="exact"/>
              <w:jc w:val="center"/>
              <w:rPr>
                <w:color w:val="000000" w:themeColor="text1"/>
                <w:sz w:val="18"/>
                <w:szCs w:val="18"/>
                <w14:textFill>
                  <w14:solidFill>
                    <w14:schemeClr w14:val="tx1"/>
                  </w14:solidFill>
                </w14:textFill>
              </w:rPr>
            </w:pPr>
          </w:p>
        </w:tc>
        <w:tc>
          <w:tcPr>
            <w:tcW w:w="975" w:type="dxa"/>
            <w:vAlign w:val="center"/>
          </w:tcPr>
          <w:p w14:paraId="4C64B615">
            <w:pPr>
              <w:spacing w:line="300" w:lineRule="exact"/>
              <w:jc w:val="center"/>
              <w:rPr>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重点检查</w:t>
            </w:r>
          </w:p>
        </w:tc>
        <w:tc>
          <w:tcPr>
            <w:tcW w:w="1070" w:type="dxa"/>
            <w:vAlign w:val="center"/>
          </w:tcPr>
          <w:p w14:paraId="00EFCD71">
            <w:pPr>
              <w:spacing w:line="300" w:lineRule="exact"/>
              <w:jc w:val="center"/>
              <w:rPr>
                <w:color w:val="000000" w:themeColor="text1"/>
                <w:sz w:val="18"/>
                <w:szCs w:val="18"/>
                <w14:textFill>
                  <w14:solidFill>
                    <w14:schemeClr w14:val="tx1"/>
                  </w14:solidFill>
                </w14:textFill>
              </w:rPr>
            </w:pPr>
            <w:r>
              <w:rPr>
                <w:b/>
                <w:bCs/>
                <w:color w:val="000000" w:themeColor="text1"/>
                <w:sz w:val="18"/>
                <w:szCs w:val="18"/>
                <w14:textFill>
                  <w14:solidFill>
                    <w14:schemeClr w14:val="tx1"/>
                  </w14:solidFill>
                </w14:textFill>
              </w:rPr>
              <w:t>一般检查</w:t>
            </w:r>
          </w:p>
        </w:tc>
      </w:tr>
      <w:tr w14:paraId="08A85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09" w:type="dxa"/>
            <w:vAlign w:val="center"/>
          </w:tcPr>
          <w:p w14:paraId="64B13275">
            <w:pPr>
              <w:spacing w:line="24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危险化学品安全管理股</w:t>
            </w:r>
          </w:p>
        </w:tc>
        <w:tc>
          <w:tcPr>
            <w:tcW w:w="607" w:type="dxa"/>
            <w:vAlign w:val="center"/>
          </w:tcPr>
          <w:p w14:paraId="70DF0B02">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630" w:type="dxa"/>
            <w:vAlign w:val="center"/>
          </w:tcPr>
          <w:p w14:paraId="6F90D21D">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840" w:type="dxa"/>
            <w:vAlign w:val="center"/>
          </w:tcPr>
          <w:p w14:paraId="259DC5CC">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496</w:t>
            </w:r>
          </w:p>
        </w:tc>
        <w:tc>
          <w:tcPr>
            <w:tcW w:w="630" w:type="dxa"/>
            <w:vAlign w:val="center"/>
          </w:tcPr>
          <w:p w14:paraId="18F35BA3">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677" w:type="dxa"/>
            <w:vAlign w:val="center"/>
          </w:tcPr>
          <w:p w14:paraId="584C081A">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688" w:type="dxa"/>
            <w:vAlign w:val="center"/>
          </w:tcPr>
          <w:p w14:paraId="5D8174AB">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735" w:type="dxa"/>
            <w:vAlign w:val="center"/>
          </w:tcPr>
          <w:p w14:paraId="73CED18D">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40</w:t>
            </w:r>
          </w:p>
        </w:tc>
        <w:tc>
          <w:tcPr>
            <w:tcW w:w="735" w:type="dxa"/>
            <w:vAlign w:val="center"/>
          </w:tcPr>
          <w:p w14:paraId="5B40C788">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840" w:type="dxa"/>
            <w:vAlign w:val="center"/>
          </w:tcPr>
          <w:p w14:paraId="48B13480">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630" w:type="dxa"/>
            <w:vAlign w:val="center"/>
          </w:tcPr>
          <w:p w14:paraId="623119E4">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630" w:type="dxa"/>
            <w:vAlign w:val="center"/>
          </w:tcPr>
          <w:p w14:paraId="5E27256E">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1005" w:type="dxa"/>
            <w:vAlign w:val="center"/>
          </w:tcPr>
          <w:p w14:paraId="6BFF5169">
            <w:pPr>
              <w:keepNext w:val="0"/>
              <w:keepLines w:val="0"/>
              <w:widowControl/>
              <w:suppressLineNumbers w:val="0"/>
              <w:jc w:val="center"/>
              <w:textAlignment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60</w:t>
            </w:r>
          </w:p>
        </w:tc>
        <w:tc>
          <w:tcPr>
            <w:tcW w:w="660" w:type="dxa"/>
            <w:vAlign w:val="center"/>
          </w:tcPr>
          <w:p w14:paraId="76D6C77B">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56</w:t>
            </w:r>
          </w:p>
        </w:tc>
        <w:tc>
          <w:tcPr>
            <w:tcW w:w="735" w:type="dxa"/>
            <w:vAlign w:val="center"/>
          </w:tcPr>
          <w:p w14:paraId="2D8E4C63">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40</w:t>
            </w:r>
          </w:p>
        </w:tc>
        <w:tc>
          <w:tcPr>
            <w:tcW w:w="660" w:type="dxa"/>
            <w:vAlign w:val="center"/>
          </w:tcPr>
          <w:p w14:paraId="081F0035">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60</w:t>
            </w:r>
          </w:p>
        </w:tc>
        <w:tc>
          <w:tcPr>
            <w:tcW w:w="630" w:type="dxa"/>
            <w:vAlign w:val="center"/>
          </w:tcPr>
          <w:p w14:paraId="783C651E">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480" w:type="dxa"/>
            <w:vAlign w:val="center"/>
          </w:tcPr>
          <w:p w14:paraId="1E7A4A6A">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690" w:type="dxa"/>
            <w:vAlign w:val="center"/>
          </w:tcPr>
          <w:p w14:paraId="6DF1E841">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975" w:type="dxa"/>
            <w:vAlign w:val="center"/>
          </w:tcPr>
          <w:p w14:paraId="305CCF9F">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54</w:t>
            </w:r>
          </w:p>
        </w:tc>
        <w:tc>
          <w:tcPr>
            <w:tcW w:w="1070" w:type="dxa"/>
            <w:vAlign w:val="center"/>
          </w:tcPr>
          <w:p w14:paraId="5B7CC520">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96</w:t>
            </w:r>
          </w:p>
        </w:tc>
      </w:tr>
      <w:tr w14:paraId="0E73B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09" w:type="dxa"/>
            <w:vAlign w:val="center"/>
          </w:tcPr>
          <w:p w14:paraId="75CFAB75">
            <w:pPr>
              <w:spacing w:line="24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安全生产基础股</w:t>
            </w:r>
          </w:p>
        </w:tc>
        <w:tc>
          <w:tcPr>
            <w:tcW w:w="607" w:type="dxa"/>
            <w:vAlign w:val="center"/>
          </w:tcPr>
          <w:p w14:paraId="6158FE18">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w:t>
            </w:r>
          </w:p>
        </w:tc>
        <w:tc>
          <w:tcPr>
            <w:tcW w:w="630" w:type="dxa"/>
            <w:vAlign w:val="center"/>
          </w:tcPr>
          <w:p w14:paraId="20E22DDB">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w:t>
            </w:r>
          </w:p>
        </w:tc>
        <w:tc>
          <w:tcPr>
            <w:tcW w:w="840" w:type="dxa"/>
            <w:vAlign w:val="center"/>
          </w:tcPr>
          <w:p w14:paraId="159AF835">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744</w:t>
            </w:r>
          </w:p>
        </w:tc>
        <w:tc>
          <w:tcPr>
            <w:tcW w:w="630" w:type="dxa"/>
            <w:vAlign w:val="center"/>
          </w:tcPr>
          <w:p w14:paraId="462475E4">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36</w:t>
            </w:r>
          </w:p>
        </w:tc>
        <w:tc>
          <w:tcPr>
            <w:tcW w:w="677" w:type="dxa"/>
            <w:vAlign w:val="center"/>
          </w:tcPr>
          <w:p w14:paraId="6456A627">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688" w:type="dxa"/>
            <w:vAlign w:val="center"/>
          </w:tcPr>
          <w:p w14:paraId="452ECB82">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735" w:type="dxa"/>
            <w:vAlign w:val="center"/>
          </w:tcPr>
          <w:p w14:paraId="3C81CCBD">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60</w:t>
            </w:r>
          </w:p>
        </w:tc>
        <w:tc>
          <w:tcPr>
            <w:tcW w:w="735" w:type="dxa"/>
            <w:vAlign w:val="center"/>
          </w:tcPr>
          <w:p w14:paraId="14BBA69B">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840" w:type="dxa"/>
            <w:vAlign w:val="center"/>
          </w:tcPr>
          <w:p w14:paraId="6D5BB857">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630" w:type="dxa"/>
            <w:vAlign w:val="center"/>
          </w:tcPr>
          <w:p w14:paraId="28B745C5">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30</w:t>
            </w:r>
          </w:p>
        </w:tc>
        <w:tc>
          <w:tcPr>
            <w:tcW w:w="630" w:type="dxa"/>
            <w:vAlign w:val="center"/>
          </w:tcPr>
          <w:p w14:paraId="26A01C01">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1005" w:type="dxa"/>
            <w:vAlign w:val="center"/>
          </w:tcPr>
          <w:p w14:paraId="6523956C">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126</w:t>
            </w:r>
          </w:p>
        </w:tc>
        <w:tc>
          <w:tcPr>
            <w:tcW w:w="660" w:type="dxa"/>
            <w:vAlign w:val="center"/>
          </w:tcPr>
          <w:p w14:paraId="123A8549">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108</w:t>
            </w:r>
          </w:p>
        </w:tc>
        <w:tc>
          <w:tcPr>
            <w:tcW w:w="735" w:type="dxa"/>
            <w:vAlign w:val="center"/>
          </w:tcPr>
          <w:p w14:paraId="79282DF3">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40</w:t>
            </w:r>
          </w:p>
        </w:tc>
        <w:tc>
          <w:tcPr>
            <w:tcW w:w="660" w:type="dxa"/>
            <w:vAlign w:val="center"/>
          </w:tcPr>
          <w:p w14:paraId="20D81BFE">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60</w:t>
            </w:r>
          </w:p>
        </w:tc>
        <w:tc>
          <w:tcPr>
            <w:tcW w:w="630" w:type="dxa"/>
            <w:vAlign w:val="center"/>
          </w:tcPr>
          <w:p w14:paraId="31497B66">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15</w:t>
            </w:r>
          </w:p>
        </w:tc>
        <w:tc>
          <w:tcPr>
            <w:tcW w:w="480" w:type="dxa"/>
            <w:vAlign w:val="center"/>
          </w:tcPr>
          <w:p w14:paraId="1E976AFE">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15</w:t>
            </w:r>
          </w:p>
        </w:tc>
        <w:tc>
          <w:tcPr>
            <w:tcW w:w="690" w:type="dxa"/>
            <w:vAlign w:val="center"/>
          </w:tcPr>
          <w:p w14:paraId="30D401BD">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975" w:type="dxa"/>
            <w:vAlign w:val="center"/>
          </w:tcPr>
          <w:p w14:paraId="66B2184D">
            <w:pPr>
              <w:keepNext w:val="0"/>
              <w:keepLines w:val="0"/>
              <w:widowControl/>
              <w:suppressLineNumbers w:val="0"/>
              <w:jc w:val="center"/>
              <w:textAlignment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89</w:t>
            </w:r>
          </w:p>
        </w:tc>
        <w:tc>
          <w:tcPr>
            <w:tcW w:w="1070" w:type="dxa"/>
            <w:vAlign w:val="center"/>
          </w:tcPr>
          <w:p w14:paraId="4B5D7542">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125</w:t>
            </w:r>
          </w:p>
        </w:tc>
      </w:tr>
      <w:tr w14:paraId="16733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09" w:type="dxa"/>
            <w:vAlign w:val="center"/>
          </w:tcPr>
          <w:p w14:paraId="5DA524C4">
            <w:pPr>
              <w:spacing w:line="24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综合协调股</w:t>
            </w:r>
          </w:p>
        </w:tc>
        <w:tc>
          <w:tcPr>
            <w:tcW w:w="607" w:type="dxa"/>
            <w:vAlign w:val="center"/>
          </w:tcPr>
          <w:p w14:paraId="7F58F418">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w:t>
            </w:r>
          </w:p>
        </w:tc>
        <w:tc>
          <w:tcPr>
            <w:tcW w:w="630" w:type="dxa"/>
            <w:vAlign w:val="center"/>
          </w:tcPr>
          <w:p w14:paraId="1F93E6D6">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w:t>
            </w:r>
          </w:p>
        </w:tc>
        <w:tc>
          <w:tcPr>
            <w:tcW w:w="840" w:type="dxa"/>
            <w:vAlign w:val="center"/>
          </w:tcPr>
          <w:p w14:paraId="715EBAAD">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496</w:t>
            </w:r>
          </w:p>
        </w:tc>
        <w:tc>
          <w:tcPr>
            <w:tcW w:w="630" w:type="dxa"/>
            <w:vAlign w:val="center"/>
          </w:tcPr>
          <w:p w14:paraId="4EAA16CC">
            <w:pPr>
              <w:keepNext w:val="0"/>
              <w:keepLines w:val="0"/>
              <w:widowControl/>
              <w:suppressLineNumbers w:val="0"/>
              <w:jc w:val="center"/>
              <w:textAlignment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40</w:t>
            </w:r>
          </w:p>
        </w:tc>
        <w:tc>
          <w:tcPr>
            <w:tcW w:w="677" w:type="dxa"/>
            <w:vAlign w:val="center"/>
          </w:tcPr>
          <w:p w14:paraId="71CD06A3">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120</w:t>
            </w:r>
          </w:p>
        </w:tc>
        <w:tc>
          <w:tcPr>
            <w:tcW w:w="688" w:type="dxa"/>
            <w:vAlign w:val="center"/>
          </w:tcPr>
          <w:p w14:paraId="0E9E94E1">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w:t>
            </w:r>
          </w:p>
        </w:tc>
        <w:tc>
          <w:tcPr>
            <w:tcW w:w="735" w:type="dxa"/>
            <w:vAlign w:val="center"/>
          </w:tcPr>
          <w:p w14:paraId="3E09CE15">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735" w:type="dxa"/>
            <w:vAlign w:val="center"/>
          </w:tcPr>
          <w:p w14:paraId="72D77796">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840" w:type="dxa"/>
            <w:vAlign w:val="center"/>
          </w:tcPr>
          <w:p w14:paraId="10949506">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630" w:type="dxa"/>
            <w:vAlign w:val="center"/>
          </w:tcPr>
          <w:p w14:paraId="0DC0504A">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630" w:type="dxa"/>
            <w:vAlign w:val="center"/>
          </w:tcPr>
          <w:p w14:paraId="14F48899">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1005" w:type="dxa"/>
            <w:vAlign w:val="center"/>
          </w:tcPr>
          <w:p w14:paraId="3F66A190">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660" w:type="dxa"/>
            <w:vAlign w:val="center"/>
          </w:tcPr>
          <w:p w14:paraId="536A27CB">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96</w:t>
            </w:r>
          </w:p>
        </w:tc>
        <w:tc>
          <w:tcPr>
            <w:tcW w:w="735" w:type="dxa"/>
            <w:vAlign w:val="center"/>
          </w:tcPr>
          <w:p w14:paraId="36195F18">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50</w:t>
            </w:r>
          </w:p>
        </w:tc>
        <w:tc>
          <w:tcPr>
            <w:tcW w:w="660" w:type="dxa"/>
            <w:vAlign w:val="center"/>
          </w:tcPr>
          <w:p w14:paraId="6CEA9E04">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630" w:type="dxa"/>
            <w:vAlign w:val="center"/>
          </w:tcPr>
          <w:p w14:paraId="3AAA22F9">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480" w:type="dxa"/>
            <w:vAlign w:val="center"/>
          </w:tcPr>
          <w:p w14:paraId="3A233AA6">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10</w:t>
            </w:r>
          </w:p>
        </w:tc>
        <w:tc>
          <w:tcPr>
            <w:tcW w:w="690" w:type="dxa"/>
            <w:vAlign w:val="center"/>
          </w:tcPr>
          <w:p w14:paraId="0CDEB216">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w:t>
            </w:r>
          </w:p>
        </w:tc>
        <w:tc>
          <w:tcPr>
            <w:tcW w:w="975" w:type="dxa"/>
            <w:vAlign w:val="center"/>
          </w:tcPr>
          <w:p w14:paraId="7835DAAD">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c>
          <w:tcPr>
            <w:tcW w:w="1070" w:type="dxa"/>
            <w:vAlign w:val="center"/>
          </w:tcPr>
          <w:p w14:paraId="19962D34">
            <w:pPr>
              <w:keepNext w:val="0"/>
              <w:keepLines w:val="0"/>
              <w:widowControl/>
              <w:suppressLineNumbers w:val="0"/>
              <w:jc w:val="center"/>
              <w:textAlignment w:val="center"/>
              <w:rPr>
                <w:rFonts w:hint="eastAsia"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p>
        </w:tc>
      </w:tr>
      <w:tr w14:paraId="0A8FC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09" w:type="dxa"/>
            <w:tcBorders>
              <w:top w:val="single" w:color="auto" w:sz="4" w:space="0"/>
              <w:bottom w:val="single" w:color="auto" w:sz="4" w:space="0"/>
              <w:right w:val="single" w:color="auto" w:sz="4" w:space="0"/>
            </w:tcBorders>
            <w:vAlign w:val="center"/>
          </w:tcPr>
          <w:p w14:paraId="1EBE9B82">
            <w:pPr>
              <w:spacing w:line="240" w:lineRule="exact"/>
              <w:ind w:firstLine="315" w:firstLineChars="15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合计</w:t>
            </w:r>
          </w:p>
        </w:tc>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65E77CEA">
            <w:pPr>
              <w:keepNext w:val="0"/>
              <w:keepLines w:val="0"/>
              <w:widowControl/>
              <w:suppressLineNumbers w:val="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11</w:t>
            </w:r>
          </w:p>
        </w:tc>
        <w:tc>
          <w:tcPr>
            <w:tcW w:w="630" w:type="dxa"/>
            <w:tcBorders>
              <w:top w:val="single" w:color="auto" w:sz="4" w:space="0"/>
              <w:left w:val="single" w:color="auto" w:sz="4" w:space="0"/>
              <w:bottom w:val="single" w:color="auto" w:sz="4" w:space="0"/>
              <w:right w:val="single" w:color="auto" w:sz="4" w:space="0"/>
            </w:tcBorders>
            <w:shd w:val="clear" w:color="auto" w:fill="auto"/>
            <w:vAlign w:val="center"/>
          </w:tcPr>
          <w:p w14:paraId="77A163E0">
            <w:pPr>
              <w:keepNext w:val="0"/>
              <w:keepLines w:val="0"/>
              <w:widowControl/>
              <w:suppressLineNumbers w:val="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w:t>
            </w:r>
          </w:p>
        </w:tc>
        <w:tc>
          <w:tcPr>
            <w:tcW w:w="840" w:type="dxa"/>
            <w:tcBorders>
              <w:top w:val="single" w:color="auto" w:sz="4" w:space="0"/>
              <w:left w:val="single" w:color="auto" w:sz="4" w:space="0"/>
              <w:bottom w:val="single" w:color="auto" w:sz="4" w:space="0"/>
              <w:right w:val="single" w:color="auto" w:sz="4" w:space="0"/>
            </w:tcBorders>
            <w:vAlign w:val="center"/>
          </w:tcPr>
          <w:p w14:paraId="32AB5113">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1736</w:t>
            </w:r>
          </w:p>
        </w:tc>
        <w:tc>
          <w:tcPr>
            <w:tcW w:w="6570" w:type="dxa"/>
            <w:gridSpan w:val="9"/>
            <w:tcBorders>
              <w:top w:val="single" w:color="auto" w:sz="4" w:space="0"/>
              <w:left w:val="single" w:color="auto" w:sz="4" w:space="0"/>
              <w:bottom w:val="single" w:color="auto" w:sz="4" w:space="0"/>
              <w:right w:val="single" w:color="auto" w:sz="4" w:space="0"/>
            </w:tcBorders>
            <w:vAlign w:val="center"/>
          </w:tcPr>
          <w:p w14:paraId="41DC63D6">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722</w:t>
            </w:r>
          </w:p>
        </w:tc>
        <w:tc>
          <w:tcPr>
            <w:tcW w:w="3855" w:type="dxa"/>
            <w:gridSpan w:val="6"/>
            <w:tcBorders>
              <w:top w:val="single" w:color="auto" w:sz="4" w:space="0"/>
              <w:left w:val="single" w:color="auto" w:sz="4" w:space="0"/>
              <w:bottom w:val="single" w:color="auto" w:sz="4" w:space="0"/>
              <w:right w:val="single" w:color="auto" w:sz="4" w:space="0"/>
            </w:tcBorders>
            <w:vAlign w:val="center"/>
          </w:tcPr>
          <w:p w14:paraId="7C7E529D">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650</w:t>
            </w:r>
          </w:p>
        </w:tc>
        <w:tc>
          <w:tcPr>
            <w:tcW w:w="2045" w:type="dxa"/>
            <w:gridSpan w:val="2"/>
            <w:tcBorders>
              <w:top w:val="single" w:color="auto" w:sz="4" w:space="0"/>
              <w:left w:val="single" w:color="auto" w:sz="4" w:space="0"/>
              <w:bottom w:val="single" w:color="auto" w:sz="4" w:space="0"/>
              <w:right w:val="single" w:color="auto" w:sz="4" w:space="0"/>
            </w:tcBorders>
            <w:vAlign w:val="center"/>
          </w:tcPr>
          <w:p w14:paraId="164A802B">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364</w:t>
            </w:r>
          </w:p>
        </w:tc>
      </w:tr>
    </w:tbl>
    <w:p w14:paraId="5D8810AB">
      <w:pPr>
        <w:jc w:val="left"/>
        <w:rPr>
          <w:color w:val="000000" w:themeColor="text1"/>
          <w14:textFill>
            <w14:solidFill>
              <w14:schemeClr w14:val="tx1"/>
            </w14:solidFill>
          </w14:textFill>
        </w:rPr>
      </w:pPr>
    </w:p>
    <w:p w14:paraId="4114B30B">
      <w:pPr>
        <w:jc w:val="left"/>
        <w:rPr>
          <w:color w:val="000000" w:themeColor="text1"/>
          <w14:textFill>
            <w14:solidFill>
              <w14:schemeClr w14:val="tx1"/>
            </w14:solidFill>
          </w14:textFill>
        </w:rPr>
      </w:pPr>
    </w:p>
    <w:p w14:paraId="264B86FF">
      <w:pPr>
        <w:jc w:val="left"/>
        <w:rPr>
          <w:color w:val="000000" w:themeColor="text1"/>
          <w14:textFill>
            <w14:solidFill>
              <w14:schemeClr w14:val="tx1"/>
            </w14:solidFill>
          </w14:textFill>
        </w:rPr>
      </w:pPr>
    </w:p>
    <w:p w14:paraId="240D7F62">
      <w:pPr>
        <w:jc w:val="left"/>
        <w:rPr>
          <w:color w:val="000000" w:themeColor="text1"/>
          <w14:textFill>
            <w14:solidFill>
              <w14:schemeClr w14:val="tx1"/>
            </w14:solidFill>
          </w14:textFill>
        </w:rPr>
      </w:pPr>
    </w:p>
    <w:p w14:paraId="104A54A2">
      <w:pPr>
        <w:rPr>
          <w:color w:val="000000" w:themeColor="text1"/>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r>
        <w:rPr>
          <w:color w:val="000000" w:themeColor="text1"/>
          <w14:textFill>
            <w14:solidFill>
              <w14:schemeClr w14:val="tx1"/>
            </w14:solidFill>
          </w14:textFill>
        </w:rPr>
        <w:br w:type="page"/>
      </w:r>
    </w:p>
    <w:p w14:paraId="044970A0">
      <w:pPr>
        <w:jc w:val="left"/>
        <w:rPr>
          <w:rFonts w:hint="default" w:eastAsia="仿宋_GB2312"/>
          <w:color w:val="000000" w:themeColor="text1"/>
          <w:lang w:val="en-US" w:eastAsia="zh-CN"/>
          <w14:textFill>
            <w14:solidFill>
              <w14:schemeClr w14:val="tx1"/>
            </w14:solidFill>
          </w14:textFill>
        </w:rPr>
      </w:pPr>
      <w:r>
        <w:rPr>
          <w:color w:val="000000" w:themeColor="text1"/>
          <w14:textFill>
            <w14:solidFill>
              <w14:schemeClr w14:val="tx1"/>
            </w14:solidFill>
          </w14:textFill>
        </w:rPr>
        <w:t>附件2</w:t>
      </w:r>
    </w:p>
    <w:p w14:paraId="5F72F1F1">
      <w:pPr>
        <w:spacing w:line="560" w:lineRule="exact"/>
        <w:jc w:val="center"/>
        <w:rPr>
          <w:rFonts w:ascii="方正小标宋简体" w:hAnsi="方正小标宋简体" w:eastAsia="方正小标宋简体" w:cs="方正小标宋简体"/>
          <w:bCs/>
          <w:color w:val="000000"/>
          <w:sz w:val="36"/>
          <w:szCs w:val="36"/>
        </w:rPr>
      </w:pPr>
      <w:r>
        <w:rPr>
          <w:rFonts w:hint="eastAsia" w:ascii="方正小标宋简体" w:hAnsi="方正小标宋简体" w:eastAsia="方正小标宋简体" w:cs="方正小标宋简体"/>
          <w:bCs/>
          <w:color w:val="000000"/>
          <w:sz w:val="36"/>
          <w:szCs w:val="36"/>
        </w:rPr>
        <w:t>恩平市应急管理局</w:t>
      </w:r>
      <w:r>
        <w:rPr>
          <w:rFonts w:eastAsia="方正小标宋简体"/>
          <w:bCs/>
          <w:color w:val="000000"/>
          <w:sz w:val="36"/>
          <w:szCs w:val="36"/>
        </w:rPr>
        <w:t>202</w:t>
      </w:r>
      <w:r>
        <w:rPr>
          <w:rFonts w:hint="eastAsia" w:eastAsia="方正小标宋简体"/>
          <w:bCs/>
          <w:color w:val="000000"/>
          <w:sz w:val="36"/>
          <w:szCs w:val="36"/>
          <w:lang w:val="en-US" w:eastAsia="zh-CN"/>
        </w:rPr>
        <w:t>5</w:t>
      </w:r>
      <w:r>
        <w:rPr>
          <w:rFonts w:hint="eastAsia" w:ascii="方正小标宋简体" w:hAnsi="方正小标宋简体" w:eastAsia="方正小标宋简体" w:cs="方正小标宋简体"/>
          <w:bCs/>
          <w:color w:val="000000"/>
          <w:sz w:val="36"/>
          <w:szCs w:val="36"/>
        </w:rPr>
        <w:t>年度安全生产</w:t>
      </w:r>
    </w:p>
    <w:p w14:paraId="2989BDA4">
      <w:pPr>
        <w:spacing w:line="560" w:lineRule="exact"/>
        <w:jc w:val="center"/>
        <w:rPr>
          <w:rFonts w:ascii="方正小标宋简体" w:hAnsi="方正小标宋简体" w:eastAsia="方正小标宋简体" w:cs="方正小标宋简体"/>
          <w:bCs/>
          <w:color w:val="000000"/>
          <w:sz w:val="36"/>
          <w:szCs w:val="36"/>
        </w:rPr>
      </w:pPr>
      <w:r>
        <w:rPr>
          <w:rFonts w:hint="eastAsia" w:ascii="方正小标宋简体" w:hAnsi="方正小标宋简体" w:eastAsia="方正小标宋简体" w:cs="方正小标宋简体"/>
          <w:bCs/>
          <w:color w:val="000000"/>
          <w:sz w:val="36"/>
          <w:szCs w:val="36"/>
        </w:rPr>
        <w:t>监督检查重点单位名单</w:t>
      </w:r>
    </w:p>
    <w:p w14:paraId="3298FF6F">
      <w:pPr>
        <w:spacing w:line="560" w:lineRule="exact"/>
        <w:jc w:val="center"/>
        <w:rPr>
          <w:rFonts w:ascii="方正小标宋简体" w:hAnsi="方正小标宋简体" w:eastAsia="方正小标宋简体" w:cs="方正小标宋简体"/>
          <w:bCs/>
          <w:color w:val="000000"/>
          <w:sz w:val="36"/>
          <w:szCs w:val="36"/>
        </w:rPr>
      </w:pPr>
    </w:p>
    <w:tbl>
      <w:tblPr>
        <w:tblStyle w:val="6"/>
        <w:tblW w:w="13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4537"/>
        <w:gridCol w:w="1546"/>
        <w:gridCol w:w="5865"/>
        <w:gridCol w:w="865"/>
      </w:tblGrid>
      <w:tr w14:paraId="07D28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blHeader/>
          <w:jc w:val="center"/>
        </w:trPr>
        <w:tc>
          <w:tcPr>
            <w:tcW w:w="753" w:type="dxa"/>
            <w:vAlign w:val="center"/>
          </w:tcPr>
          <w:p w14:paraId="6E9938DD">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14:textFill>
                  <w14:solidFill>
                    <w14:schemeClr w14:val="tx1"/>
                  </w14:solidFill>
                </w14:textFill>
              </w:rPr>
            </w:pPr>
            <w:r>
              <w:rPr>
                <w:rFonts w:hint="eastAsia" w:ascii="仿宋_GB2312" w:hAnsi="仿宋_GB2312" w:eastAsia="仿宋_GB2312" w:cs="仿宋_GB2312"/>
                <w:b/>
                <w:color w:val="000000" w:themeColor="text1"/>
                <w:kern w:val="0"/>
                <w:sz w:val="24"/>
                <w:szCs w:val="24"/>
                <w14:textFill>
                  <w14:solidFill>
                    <w14:schemeClr w14:val="tx1"/>
                  </w14:solidFill>
                </w14:textFill>
              </w:rPr>
              <w:t>序号</w:t>
            </w:r>
          </w:p>
        </w:tc>
        <w:tc>
          <w:tcPr>
            <w:tcW w:w="4537" w:type="dxa"/>
            <w:vAlign w:val="center"/>
          </w:tcPr>
          <w:p w14:paraId="5D2CE308">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专项行动名称</w:t>
            </w:r>
          </w:p>
        </w:tc>
        <w:tc>
          <w:tcPr>
            <w:tcW w:w="1546" w:type="dxa"/>
            <w:vAlign w:val="center"/>
          </w:tcPr>
          <w:p w14:paraId="2DCBCCE5">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14:textFill>
                  <w14:solidFill>
                    <w14:schemeClr w14:val="tx1"/>
                  </w14:solidFill>
                </w14:textFill>
              </w:rPr>
            </w:pPr>
            <w:r>
              <w:rPr>
                <w:rFonts w:hint="eastAsia" w:ascii="仿宋_GB2312" w:hAnsi="仿宋_GB2312" w:eastAsia="仿宋_GB2312" w:cs="仿宋_GB2312"/>
                <w:b/>
                <w:color w:val="000000" w:themeColor="text1"/>
                <w:kern w:val="0"/>
                <w:sz w:val="24"/>
                <w:szCs w:val="24"/>
                <w14:textFill>
                  <w14:solidFill>
                    <w14:schemeClr w14:val="tx1"/>
                  </w14:solidFill>
                </w14:textFill>
              </w:rPr>
              <w:t>重点区域</w:t>
            </w:r>
          </w:p>
        </w:tc>
        <w:tc>
          <w:tcPr>
            <w:tcW w:w="5865" w:type="dxa"/>
            <w:vAlign w:val="center"/>
          </w:tcPr>
          <w:p w14:paraId="2440C9BC">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_GB2312" w:hAnsi="仿宋_GB2312" w:eastAsia="仿宋_GB2312" w:cs="仿宋_GB2312"/>
                <w:b/>
                <w:color w:val="000000" w:themeColor="text1"/>
                <w:kern w:val="0"/>
                <w:sz w:val="24"/>
                <w:szCs w:val="24"/>
                <w14:textFill>
                  <w14:solidFill>
                    <w14:schemeClr w14:val="tx1"/>
                  </w14:solidFill>
                </w14:textFill>
              </w:rPr>
            </w:pPr>
            <w:r>
              <w:rPr>
                <w:rFonts w:hint="eastAsia" w:ascii="仿宋_GB2312" w:hAnsi="仿宋_GB2312" w:eastAsia="仿宋_GB2312" w:cs="仿宋_GB2312"/>
                <w:b/>
                <w:color w:val="000000" w:themeColor="text1"/>
                <w:kern w:val="0"/>
                <w:sz w:val="24"/>
                <w:szCs w:val="24"/>
                <w14:textFill>
                  <w14:solidFill>
                    <w14:schemeClr w14:val="tx1"/>
                  </w14:solidFill>
                </w14:textFill>
              </w:rPr>
              <w:t>检查单位</w:t>
            </w:r>
          </w:p>
        </w:tc>
        <w:tc>
          <w:tcPr>
            <w:tcW w:w="865" w:type="dxa"/>
            <w:vAlign w:val="center"/>
          </w:tcPr>
          <w:p w14:paraId="0570339E">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_GB2312" w:hAnsi="仿宋_GB2312" w:cs="仿宋_GB2312"/>
                <w:b/>
                <w:color w:val="000000" w:themeColor="text1"/>
                <w:kern w:val="0"/>
                <w:sz w:val="24"/>
                <w:szCs w:val="24"/>
                <w:lang w:eastAsia="zh-CN"/>
                <w14:textFill>
                  <w14:solidFill>
                    <w14:schemeClr w14:val="tx1"/>
                  </w14:solidFill>
                </w14:textFill>
              </w:rPr>
            </w:pPr>
            <w:r>
              <w:rPr>
                <w:rFonts w:hint="eastAsia" w:ascii="仿宋_GB2312" w:hAnsi="仿宋_GB2312" w:cs="仿宋_GB2312"/>
                <w:b/>
                <w:color w:val="000000" w:themeColor="text1"/>
                <w:kern w:val="0"/>
                <w:sz w:val="24"/>
                <w:szCs w:val="24"/>
                <w:lang w:eastAsia="zh-CN"/>
                <w14:textFill>
                  <w14:solidFill>
                    <w14:schemeClr w14:val="tx1"/>
                  </w14:solidFill>
                </w14:textFill>
              </w:rPr>
              <w:t>计划</w:t>
            </w:r>
          </w:p>
          <w:p w14:paraId="5A72BB6A">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_GB2312" w:hAnsi="仿宋_GB2312" w:cs="仿宋_GB2312"/>
                <w:b/>
                <w:color w:val="000000" w:themeColor="text1"/>
                <w:kern w:val="0"/>
                <w:sz w:val="24"/>
                <w:szCs w:val="24"/>
                <w:lang w:eastAsia="zh-CN"/>
                <w14:textFill>
                  <w14:solidFill>
                    <w14:schemeClr w14:val="tx1"/>
                  </w14:solidFill>
                </w14:textFill>
              </w:rPr>
            </w:pPr>
            <w:r>
              <w:rPr>
                <w:rFonts w:hint="eastAsia" w:ascii="仿宋_GB2312" w:hAnsi="仿宋_GB2312" w:cs="仿宋_GB2312"/>
                <w:b/>
                <w:color w:val="000000" w:themeColor="text1"/>
                <w:kern w:val="0"/>
                <w:sz w:val="24"/>
                <w:szCs w:val="24"/>
                <w:lang w:eastAsia="zh-CN"/>
                <w14:textFill>
                  <w14:solidFill>
                    <w14:schemeClr w14:val="tx1"/>
                  </w14:solidFill>
                </w14:textFill>
              </w:rPr>
              <w:t>检查</w:t>
            </w:r>
          </w:p>
          <w:p w14:paraId="3F1059A3">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_GB2312" w:hAnsi="仿宋_GB2312" w:eastAsia="仿宋_GB2312" w:cs="仿宋_GB2312"/>
                <w:b/>
                <w:color w:val="000000" w:themeColor="text1"/>
                <w:kern w:val="0"/>
                <w:sz w:val="24"/>
                <w:szCs w:val="24"/>
                <w:lang w:eastAsia="zh-CN"/>
                <w14:textFill>
                  <w14:solidFill>
                    <w14:schemeClr w14:val="tx1"/>
                  </w14:solidFill>
                </w14:textFill>
              </w:rPr>
            </w:pPr>
            <w:r>
              <w:rPr>
                <w:rFonts w:hint="eastAsia" w:ascii="仿宋_GB2312" w:hAnsi="仿宋_GB2312" w:cs="仿宋_GB2312"/>
                <w:b/>
                <w:color w:val="000000" w:themeColor="text1"/>
                <w:kern w:val="0"/>
                <w:sz w:val="24"/>
                <w:szCs w:val="24"/>
                <w:lang w:eastAsia="zh-CN"/>
                <w14:textFill>
                  <w14:solidFill>
                    <w14:schemeClr w14:val="tx1"/>
                  </w14:solidFill>
                </w14:textFill>
              </w:rPr>
              <w:t>次数</w:t>
            </w:r>
          </w:p>
        </w:tc>
      </w:tr>
      <w:tr w14:paraId="02DC5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3040978A">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c>
          <w:tcPr>
            <w:tcW w:w="4537" w:type="dxa"/>
            <w:vMerge w:val="restart"/>
            <w:vAlign w:val="center"/>
          </w:tcPr>
          <w:p w14:paraId="44A47E6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sz w:val="24"/>
                <w:szCs w:val="24"/>
                <w:lang w:val="en-US" w:eastAsia="zh-CN"/>
                <w14:textFill>
                  <w14:solidFill>
                    <w14:schemeClr w14:val="tx1"/>
                  </w14:solidFill>
                </w14:textFill>
              </w:rPr>
              <w:t>“厂中厂”企业安全生产监督检查</w:t>
            </w:r>
          </w:p>
        </w:tc>
        <w:tc>
          <w:tcPr>
            <w:tcW w:w="1546" w:type="dxa"/>
            <w:vAlign w:val="center"/>
          </w:tcPr>
          <w:p w14:paraId="386E124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default" w:ascii="仿宋" w:hAnsi="仿宋" w:eastAsia="仿宋" w:cs="仿宋"/>
                <w:b/>
                <w:color w:val="000000" w:themeColor="text1"/>
                <w:kern w:val="0"/>
                <w:sz w:val="24"/>
                <w:szCs w:val="24"/>
                <w:lang w:val="en-US"/>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0F960BB0">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恩平市鼎力音响科技有限公司</w:t>
            </w:r>
          </w:p>
        </w:tc>
        <w:tc>
          <w:tcPr>
            <w:tcW w:w="865" w:type="dxa"/>
            <w:vAlign w:val="center"/>
          </w:tcPr>
          <w:p w14:paraId="00748040">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B44E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4969211F">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54876E5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sz w:val="24"/>
                <w:szCs w:val="24"/>
                <w:lang w:val="en-US" w:eastAsia="zh-CN"/>
              </w:rPr>
            </w:pPr>
          </w:p>
        </w:tc>
        <w:tc>
          <w:tcPr>
            <w:tcW w:w="1546" w:type="dxa"/>
            <w:vAlign w:val="center"/>
          </w:tcPr>
          <w:p w14:paraId="34D1DF7E">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2FDEC11C">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恩平市立亚电子有限公司</w:t>
            </w:r>
          </w:p>
        </w:tc>
        <w:tc>
          <w:tcPr>
            <w:tcW w:w="865" w:type="dxa"/>
            <w:vAlign w:val="center"/>
          </w:tcPr>
          <w:p w14:paraId="1A9B5BB0">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5B67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73536A33">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0CB1A2FB">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sz w:val="24"/>
                <w:szCs w:val="24"/>
                <w:lang w:val="en-US" w:eastAsia="zh-CN"/>
              </w:rPr>
            </w:pPr>
          </w:p>
        </w:tc>
        <w:tc>
          <w:tcPr>
            <w:tcW w:w="1546" w:type="dxa"/>
            <w:vAlign w:val="center"/>
          </w:tcPr>
          <w:p w14:paraId="4DABB11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48AD7999">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恩平市圣保罗音响器材有限公司</w:t>
            </w:r>
          </w:p>
        </w:tc>
        <w:tc>
          <w:tcPr>
            <w:tcW w:w="865" w:type="dxa"/>
            <w:vAlign w:val="center"/>
          </w:tcPr>
          <w:p w14:paraId="4AA3EA9C">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1A6D2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4CA0733A">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3E45213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sz w:val="24"/>
                <w:szCs w:val="24"/>
                <w:lang w:val="en-US" w:eastAsia="zh-CN"/>
              </w:rPr>
            </w:pPr>
          </w:p>
        </w:tc>
        <w:tc>
          <w:tcPr>
            <w:tcW w:w="1546" w:type="dxa"/>
            <w:vAlign w:val="center"/>
          </w:tcPr>
          <w:p w14:paraId="7F2F874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231D580F">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恩平市欧蒙特音响有限公司</w:t>
            </w:r>
          </w:p>
        </w:tc>
        <w:tc>
          <w:tcPr>
            <w:tcW w:w="865" w:type="dxa"/>
            <w:vAlign w:val="center"/>
          </w:tcPr>
          <w:p w14:paraId="6EF0C7AF">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E025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4518FC71">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250A3F56">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sz w:val="24"/>
                <w:szCs w:val="24"/>
                <w:lang w:val="en-US" w:eastAsia="zh-CN"/>
              </w:rPr>
            </w:pPr>
          </w:p>
        </w:tc>
        <w:tc>
          <w:tcPr>
            <w:tcW w:w="1546" w:type="dxa"/>
            <w:vAlign w:val="center"/>
          </w:tcPr>
          <w:p w14:paraId="500E36B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东成镇</w:t>
            </w:r>
          </w:p>
        </w:tc>
        <w:tc>
          <w:tcPr>
            <w:tcW w:w="5865" w:type="dxa"/>
            <w:vAlign w:val="center"/>
          </w:tcPr>
          <w:p w14:paraId="5AA6E2A4">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恩平市海和电子有限公司</w:t>
            </w:r>
          </w:p>
        </w:tc>
        <w:tc>
          <w:tcPr>
            <w:tcW w:w="865" w:type="dxa"/>
            <w:vAlign w:val="center"/>
          </w:tcPr>
          <w:p w14:paraId="4DA15F68">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34B9A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6B651A33">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54A26A71">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sz w:val="24"/>
                <w:szCs w:val="24"/>
                <w:lang w:val="en-US" w:eastAsia="zh-CN"/>
              </w:rPr>
            </w:pPr>
          </w:p>
        </w:tc>
        <w:tc>
          <w:tcPr>
            <w:tcW w:w="1546" w:type="dxa"/>
            <w:vAlign w:val="center"/>
          </w:tcPr>
          <w:p w14:paraId="43E043A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东成镇</w:t>
            </w:r>
          </w:p>
        </w:tc>
        <w:tc>
          <w:tcPr>
            <w:tcW w:w="5865" w:type="dxa"/>
            <w:vAlign w:val="center"/>
          </w:tcPr>
          <w:p w14:paraId="401E2573">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color w:val="000000" w:themeColor="text1"/>
                <w:kern w:val="0"/>
                <w:sz w:val="24"/>
                <w:szCs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恩平市裕华彩印工业有限公司</w:t>
            </w:r>
          </w:p>
        </w:tc>
        <w:tc>
          <w:tcPr>
            <w:tcW w:w="865" w:type="dxa"/>
            <w:vAlign w:val="center"/>
          </w:tcPr>
          <w:p w14:paraId="04E5D497">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50DB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blHeader/>
          <w:jc w:val="center"/>
        </w:trPr>
        <w:tc>
          <w:tcPr>
            <w:tcW w:w="753" w:type="dxa"/>
            <w:vAlign w:val="center"/>
          </w:tcPr>
          <w:p w14:paraId="1DD99251">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2</w:t>
            </w:r>
          </w:p>
        </w:tc>
        <w:tc>
          <w:tcPr>
            <w:tcW w:w="4537" w:type="dxa"/>
            <w:vAlign w:val="center"/>
          </w:tcPr>
          <w:p w14:paraId="60A1188C">
            <w:pPr>
              <w:keepNext w:val="0"/>
              <w:keepLines w:val="0"/>
              <w:pageBreakBefore w:val="0"/>
              <w:widowControl/>
              <w:kinsoku/>
              <w:wordWrap/>
              <w:overflowPunct/>
              <w:topLinePunct w:val="0"/>
              <w:autoSpaceDE/>
              <w:autoSpaceDN/>
              <w:bidi w:val="0"/>
              <w:adjustRightInd/>
              <w:snapToGrid/>
              <w:spacing w:line="400" w:lineRule="exact"/>
              <w:ind w:left="1445" w:right="-320" w:rightChars="-100" w:hanging="1446" w:hangingChars="600"/>
              <w:jc w:val="both"/>
              <w:rPr>
                <w:rFonts w:hint="eastAsia" w:ascii="仿宋" w:hAnsi="仿宋" w:eastAsia="仿宋" w:cs="仿宋"/>
                <w:b/>
                <w:color w:val="000000" w:themeColor="text1"/>
                <w:sz w:val="24"/>
                <w:szCs w:val="24"/>
                <w:lang w:eastAsia="zh-CN"/>
                <w14:textFill>
                  <w14:solidFill>
                    <w14:schemeClr w14:val="tx1"/>
                  </w14:solidFill>
                </w14:textFill>
              </w:rPr>
            </w:pPr>
            <w:r>
              <w:rPr>
                <w:rFonts w:hint="eastAsia" w:ascii="仿宋" w:hAnsi="仿宋" w:eastAsia="仿宋" w:cs="仿宋"/>
                <w:b/>
                <w:color w:val="000000" w:themeColor="text1"/>
                <w:sz w:val="24"/>
                <w:szCs w:val="24"/>
                <w:lang w:val="en-US" w:eastAsia="zh-CN"/>
                <w14:textFill>
                  <w14:solidFill>
                    <w14:schemeClr w14:val="tx1"/>
                  </w14:solidFill>
                </w14:textFill>
              </w:rPr>
              <w:t>金属冶炼</w:t>
            </w:r>
            <w:r>
              <w:rPr>
                <w:rFonts w:hint="eastAsia" w:ascii="仿宋" w:hAnsi="仿宋" w:eastAsia="仿宋" w:cs="仿宋"/>
                <w:b/>
                <w:color w:val="000000" w:themeColor="text1"/>
                <w:sz w:val="24"/>
                <w:szCs w:val="24"/>
                <w:lang w:eastAsia="zh-CN"/>
                <w14:textFill>
                  <w14:solidFill>
                    <w14:schemeClr w14:val="tx1"/>
                  </w14:solidFill>
                </w14:textFill>
              </w:rPr>
              <w:t>（铸造）企业安全生产</w:t>
            </w:r>
          </w:p>
          <w:p w14:paraId="4FDBC6F0">
            <w:pPr>
              <w:keepNext w:val="0"/>
              <w:keepLines w:val="0"/>
              <w:pageBreakBefore w:val="0"/>
              <w:widowControl/>
              <w:kinsoku/>
              <w:wordWrap/>
              <w:overflowPunct/>
              <w:topLinePunct w:val="0"/>
              <w:autoSpaceDE/>
              <w:autoSpaceDN/>
              <w:bidi w:val="0"/>
              <w:adjustRightInd/>
              <w:snapToGrid/>
              <w:spacing w:line="400" w:lineRule="exact"/>
              <w:ind w:left="1445" w:right="-320" w:rightChars="-100" w:hanging="1446" w:hangingChars="600"/>
              <w:jc w:val="both"/>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sz w:val="24"/>
                <w:szCs w:val="24"/>
                <w:lang w:eastAsia="zh-CN"/>
                <w14:textFill>
                  <w14:solidFill>
                    <w14:schemeClr w14:val="tx1"/>
                  </w14:solidFill>
                </w14:textFill>
              </w:rPr>
              <w:t>监督检查</w:t>
            </w:r>
          </w:p>
        </w:tc>
        <w:tc>
          <w:tcPr>
            <w:tcW w:w="1546" w:type="dxa"/>
            <w:vAlign w:val="center"/>
          </w:tcPr>
          <w:p w14:paraId="6AA8772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大槐镇</w:t>
            </w:r>
          </w:p>
        </w:tc>
        <w:tc>
          <w:tcPr>
            <w:tcW w:w="5865" w:type="dxa"/>
            <w:vAlign w:val="center"/>
          </w:tcPr>
          <w:p w14:paraId="347D5FF6">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恩平市宏兴铝业有限公司</w:t>
            </w:r>
          </w:p>
        </w:tc>
        <w:tc>
          <w:tcPr>
            <w:tcW w:w="865" w:type="dxa"/>
            <w:vAlign w:val="center"/>
          </w:tcPr>
          <w:p w14:paraId="57C7CD2C">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B610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53" w:type="dxa"/>
            <w:vMerge w:val="restart"/>
            <w:vAlign w:val="center"/>
          </w:tcPr>
          <w:p w14:paraId="03F9F184">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3</w:t>
            </w:r>
          </w:p>
        </w:tc>
        <w:tc>
          <w:tcPr>
            <w:tcW w:w="4537" w:type="dxa"/>
            <w:vMerge w:val="restart"/>
            <w:vAlign w:val="center"/>
          </w:tcPr>
          <w:p w14:paraId="2837ECF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sz w:val="24"/>
                <w:szCs w:val="24"/>
                <w:lang w:eastAsia="zh-CN"/>
                <w14:textFill>
                  <w14:solidFill>
                    <w14:schemeClr w14:val="tx1"/>
                  </w14:solidFill>
                </w14:textFill>
              </w:rPr>
              <w:t>机械制造企业安全生产监督检查</w:t>
            </w:r>
          </w:p>
        </w:tc>
        <w:tc>
          <w:tcPr>
            <w:tcW w:w="1546" w:type="dxa"/>
            <w:vAlign w:val="center"/>
          </w:tcPr>
          <w:p w14:paraId="5806DF38">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大槐镇</w:t>
            </w:r>
          </w:p>
        </w:tc>
        <w:tc>
          <w:tcPr>
            <w:tcW w:w="5865" w:type="dxa"/>
            <w:vAlign w:val="center"/>
          </w:tcPr>
          <w:p w14:paraId="1C1B2CC1">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坤华环保装备（广东）有限公司</w:t>
            </w:r>
          </w:p>
        </w:tc>
        <w:tc>
          <w:tcPr>
            <w:tcW w:w="865" w:type="dxa"/>
            <w:vAlign w:val="center"/>
          </w:tcPr>
          <w:p w14:paraId="037CE64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EA1D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53" w:type="dxa"/>
            <w:vMerge w:val="continue"/>
            <w:vAlign w:val="center"/>
          </w:tcPr>
          <w:p w14:paraId="5E86E57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218FB9A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vAlign w:val="center"/>
          </w:tcPr>
          <w:p w14:paraId="2EEE5CF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大槐镇</w:t>
            </w:r>
          </w:p>
        </w:tc>
        <w:tc>
          <w:tcPr>
            <w:tcW w:w="5865" w:type="dxa"/>
            <w:vAlign w:val="center"/>
          </w:tcPr>
          <w:p w14:paraId="0C27CC7B">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江门市日强重工有限公司</w:t>
            </w:r>
          </w:p>
        </w:tc>
        <w:tc>
          <w:tcPr>
            <w:tcW w:w="865" w:type="dxa"/>
            <w:vAlign w:val="center"/>
          </w:tcPr>
          <w:p w14:paraId="2AEED6E4">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4EE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5D608549">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5D7FD2D6">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vAlign w:val="center"/>
          </w:tcPr>
          <w:p w14:paraId="63F4F4C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大槐镇</w:t>
            </w:r>
          </w:p>
        </w:tc>
        <w:tc>
          <w:tcPr>
            <w:tcW w:w="5865" w:type="dxa"/>
            <w:vAlign w:val="center"/>
          </w:tcPr>
          <w:p w14:paraId="414A4F86">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江门溢源钢结构有限公司</w:t>
            </w:r>
          </w:p>
        </w:tc>
        <w:tc>
          <w:tcPr>
            <w:tcW w:w="865" w:type="dxa"/>
            <w:vAlign w:val="center"/>
          </w:tcPr>
          <w:p w14:paraId="6AE6DA4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82B6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0792CAC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439465D8">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vAlign w:val="center"/>
          </w:tcPr>
          <w:p w14:paraId="595640C0">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大槐镇</w:t>
            </w:r>
          </w:p>
        </w:tc>
        <w:tc>
          <w:tcPr>
            <w:tcW w:w="5865" w:type="dxa"/>
            <w:vAlign w:val="center"/>
          </w:tcPr>
          <w:p w14:paraId="7A8A98E1">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广东金磐志智能装备有限公司</w:t>
            </w:r>
          </w:p>
        </w:tc>
        <w:tc>
          <w:tcPr>
            <w:tcW w:w="865" w:type="dxa"/>
            <w:vAlign w:val="center"/>
          </w:tcPr>
          <w:p w14:paraId="0BADF079">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A785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4A6C75FC">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0CA54B7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vAlign w:val="center"/>
          </w:tcPr>
          <w:p w14:paraId="77C96E7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大槐镇</w:t>
            </w:r>
          </w:p>
        </w:tc>
        <w:tc>
          <w:tcPr>
            <w:tcW w:w="5865" w:type="dxa"/>
            <w:vAlign w:val="center"/>
          </w:tcPr>
          <w:p w14:paraId="3A201AC1">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广东立研数控设备有限公司</w:t>
            </w:r>
          </w:p>
        </w:tc>
        <w:tc>
          <w:tcPr>
            <w:tcW w:w="865" w:type="dxa"/>
            <w:vAlign w:val="center"/>
          </w:tcPr>
          <w:p w14:paraId="5CD502C8">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F98E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0B2F910C">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54777D91">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vAlign w:val="center"/>
          </w:tcPr>
          <w:p w14:paraId="1BC04CCE">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大槐镇</w:t>
            </w:r>
          </w:p>
        </w:tc>
        <w:tc>
          <w:tcPr>
            <w:tcW w:w="5865" w:type="dxa"/>
            <w:vAlign w:val="center"/>
          </w:tcPr>
          <w:p w14:paraId="6A4E0BCF">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广东科志达智能装备有限公司</w:t>
            </w:r>
          </w:p>
        </w:tc>
        <w:tc>
          <w:tcPr>
            <w:tcW w:w="865" w:type="dxa"/>
            <w:vAlign w:val="center"/>
          </w:tcPr>
          <w:p w14:paraId="74D8F71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4FC11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1E7CF8A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4</w:t>
            </w:r>
          </w:p>
        </w:tc>
        <w:tc>
          <w:tcPr>
            <w:tcW w:w="4537" w:type="dxa"/>
            <w:vMerge w:val="restart"/>
            <w:vAlign w:val="center"/>
          </w:tcPr>
          <w:p w14:paraId="587CAF40">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粉尘涉爆企业安全生产监督检查</w:t>
            </w:r>
          </w:p>
        </w:tc>
        <w:tc>
          <w:tcPr>
            <w:tcW w:w="1546" w:type="dxa"/>
            <w:vAlign w:val="center"/>
          </w:tcPr>
          <w:p w14:paraId="0860491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君堂镇</w:t>
            </w:r>
          </w:p>
        </w:tc>
        <w:tc>
          <w:tcPr>
            <w:tcW w:w="5865" w:type="dxa"/>
            <w:vAlign w:val="center"/>
          </w:tcPr>
          <w:p w14:paraId="1CBD892E">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恩平市恒春热能有限公司</w:t>
            </w:r>
          </w:p>
        </w:tc>
        <w:tc>
          <w:tcPr>
            <w:tcW w:w="865" w:type="dxa"/>
            <w:vAlign w:val="center"/>
          </w:tcPr>
          <w:p w14:paraId="1B64802C">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0B6E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0FC26E2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51E5BA6E">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shd w:val="clear" w:color="auto" w:fill="auto"/>
            <w:vAlign w:val="center"/>
          </w:tcPr>
          <w:p w14:paraId="6BDC866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君堂镇</w:t>
            </w:r>
          </w:p>
        </w:tc>
        <w:tc>
          <w:tcPr>
            <w:tcW w:w="5865" w:type="dxa"/>
            <w:shd w:val="clear" w:color="auto" w:fill="auto"/>
            <w:vAlign w:val="center"/>
          </w:tcPr>
          <w:p w14:paraId="7DAA25BF">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恩平市骏龙木业有限公司</w:t>
            </w:r>
          </w:p>
        </w:tc>
        <w:tc>
          <w:tcPr>
            <w:tcW w:w="865" w:type="dxa"/>
            <w:vAlign w:val="center"/>
          </w:tcPr>
          <w:p w14:paraId="481BDF7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27D8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54FF8C7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2A15167E">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vAlign w:val="center"/>
          </w:tcPr>
          <w:p w14:paraId="4936A1A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7CBED9D3">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恩平市双鹏包装厂</w:t>
            </w:r>
          </w:p>
        </w:tc>
        <w:tc>
          <w:tcPr>
            <w:tcW w:w="865" w:type="dxa"/>
            <w:vAlign w:val="center"/>
          </w:tcPr>
          <w:p w14:paraId="40851DED">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69844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33C04E9D">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098A66B3">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shd w:val="clear" w:color="auto" w:fill="auto"/>
            <w:vAlign w:val="center"/>
          </w:tcPr>
          <w:p w14:paraId="7E58057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东成镇</w:t>
            </w:r>
          </w:p>
        </w:tc>
        <w:tc>
          <w:tcPr>
            <w:tcW w:w="5865" w:type="dxa"/>
            <w:shd w:val="clear" w:color="auto" w:fill="auto"/>
            <w:vAlign w:val="center"/>
          </w:tcPr>
          <w:p w14:paraId="44C3360A">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恩平市腾鑫翔五金加工部</w:t>
            </w:r>
          </w:p>
        </w:tc>
        <w:tc>
          <w:tcPr>
            <w:tcW w:w="865" w:type="dxa"/>
            <w:vAlign w:val="center"/>
          </w:tcPr>
          <w:p w14:paraId="67D371D5">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60BF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773FB0D3">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1229AEC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000000" w:themeColor="text1"/>
                <w:sz w:val="24"/>
                <w:szCs w:val="24"/>
                <w14:textFill>
                  <w14:solidFill>
                    <w14:schemeClr w14:val="tx1"/>
                  </w14:solidFill>
                </w14:textFill>
              </w:rPr>
            </w:pPr>
          </w:p>
        </w:tc>
        <w:tc>
          <w:tcPr>
            <w:tcW w:w="1546" w:type="dxa"/>
            <w:vAlign w:val="center"/>
          </w:tcPr>
          <w:p w14:paraId="4D19EB8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大槐镇</w:t>
            </w:r>
          </w:p>
        </w:tc>
        <w:tc>
          <w:tcPr>
            <w:tcW w:w="5865" w:type="dxa"/>
            <w:vAlign w:val="center"/>
          </w:tcPr>
          <w:p w14:paraId="05F86DDD">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广东裕创声光科技有限公司</w:t>
            </w:r>
          </w:p>
        </w:tc>
        <w:tc>
          <w:tcPr>
            <w:tcW w:w="865" w:type="dxa"/>
            <w:vAlign w:val="center"/>
          </w:tcPr>
          <w:p w14:paraId="6D695C47">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3D0A0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53" w:type="dxa"/>
            <w:vMerge w:val="continue"/>
            <w:vAlign w:val="center"/>
          </w:tcPr>
          <w:p w14:paraId="5B41511C">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43BBF84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p>
        </w:tc>
        <w:tc>
          <w:tcPr>
            <w:tcW w:w="1546" w:type="dxa"/>
            <w:vAlign w:val="center"/>
          </w:tcPr>
          <w:p w14:paraId="2F2F13B3">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大槐镇</w:t>
            </w:r>
          </w:p>
        </w:tc>
        <w:tc>
          <w:tcPr>
            <w:tcW w:w="5865" w:type="dxa"/>
            <w:vAlign w:val="center"/>
          </w:tcPr>
          <w:p w14:paraId="2F1FB862">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恩平格丽斯邦特木业有限公司</w:t>
            </w:r>
          </w:p>
        </w:tc>
        <w:tc>
          <w:tcPr>
            <w:tcW w:w="865" w:type="dxa"/>
            <w:vAlign w:val="center"/>
          </w:tcPr>
          <w:p w14:paraId="332FF6E3">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42E3F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37758A15">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5</w:t>
            </w:r>
          </w:p>
        </w:tc>
        <w:tc>
          <w:tcPr>
            <w:tcW w:w="4537" w:type="dxa"/>
            <w:vMerge w:val="restart"/>
            <w:vAlign w:val="center"/>
          </w:tcPr>
          <w:p w14:paraId="00B59D5F">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有限空间作业企业安全监督检查</w:t>
            </w:r>
          </w:p>
        </w:tc>
        <w:tc>
          <w:tcPr>
            <w:tcW w:w="1546" w:type="dxa"/>
            <w:vAlign w:val="center"/>
          </w:tcPr>
          <w:p w14:paraId="55106C2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2FDB298A">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恩平市侨光日用化工商行</w:t>
            </w:r>
          </w:p>
        </w:tc>
        <w:tc>
          <w:tcPr>
            <w:tcW w:w="865" w:type="dxa"/>
            <w:vAlign w:val="center"/>
          </w:tcPr>
          <w:p w14:paraId="6B59E24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60C2A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41CE49B1">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06C5581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106CE83A">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1CE35987">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恩平市盈丰整染有限公司</w:t>
            </w:r>
          </w:p>
        </w:tc>
        <w:tc>
          <w:tcPr>
            <w:tcW w:w="865" w:type="dxa"/>
            <w:vAlign w:val="center"/>
          </w:tcPr>
          <w:p w14:paraId="0671D24A">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31922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475194AE">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0EE3E7F6">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4C80222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君堂镇</w:t>
            </w:r>
          </w:p>
        </w:tc>
        <w:tc>
          <w:tcPr>
            <w:tcW w:w="5865" w:type="dxa"/>
            <w:vAlign w:val="center"/>
          </w:tcPr>
          <w:p w14:paraId="0F4F2D47">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恩平市新德纺织有限公司</w:t>
            </w:r>
          </w:p>
        </w:tc>
        <w:tc>
          <w:tcPr>
            <w:tcW w:w="865" w:type="dxa"/>
            <w:vAlign w:val="center"/>
          </w:tcPr>
          <w:p w14:paraId="0ED0772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19B46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blHeader/>
          <w:jc w:val="center"/>
        </w:trPr>
        <w:tc>
          <w:tcPr>
            <w:tcW w:w="753" w:type="dxa"/>
            <w:vMerge w:val="continue"/>
            <w:vAlign w:val="center"/>
          </w:tcPr>
          <w:p w14:paraId="4A23E3DB">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3D81818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shd w:val="clear" w:color="auto" w:fill="auto"/>
            <w:vAlign w:val="center"/>
          </w:tcPr>
          <w:p w14:paraId="27F6CCC9">
            <w:pPr>
              <w:keepNext w:val="0"/>
              <w:keepLines w:val="0"/>
              <w:widowControl/>
              <w:suppressLineNumbers w:val="0"/>
              <w:jc w:val="lef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大槐</w:t>
            </w:r>
            <w:r>
              <w:rPr>
                <w:rFonts w:hint="eastAsia" w:ascii="仿宋" w:hAnsi="仿宋" w:eastAsia="仿宋" w:cs="仿宋"/>
                <w:color w:val="000000" w:themeColor="text1"/>
                <w:sz w:val="24"/>
                <w:szCs w:val="24"/>
                <w:lang w:val="en-US" w:eastAsia="zh-CN"/>
                <w14:textFill>
                  <w14:solidFill>
                    <w14:schemeClr w14:val="tx1"/>
                  </w14:solidFill>
                </w14:textFill>
              </w:rPr>
              <w:t>镇</w:t>
            </w:r>
          </w:p>
        </w:tc>
        <w:tc>
          <w:tcPr>
            <w:tcW w:w="5865" w:type="dxa"/>
            <w:vAlign w:val="center"/>
          </w:tcPr>
          <w:p w14:paraId="4144B8A1">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广东科炬铝业科技有限公司</w:t>
            </w:r>
          </w:p>
        </w:tc>
        <w:tc>
          <w:tcPr>
            <w:tcW w:w="865" w:type="dxa"/>
            <w:vAlign w:val="center"/>
          </w:tcPr>
          <w:p w14:paraId="321A4C8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5D421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4899509C">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17276A88">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356083F3">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沙湖镇</w:t>
            </w:r>
          </w:p>
        </w:tc>
        <w:tc>
          <w:tcPr>
            <w:tcW w:w="5865" w:type="dxa"/>
            <w:vAlign w:val="center"/>
          </w:tcPr>
          <w:p w14:paraId="1BABC1B4">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恩平市胜源纸品有限公司</w:t>
            </w:r>
          </w:p>
        </w:tc>
        <w:tc>
          <w:tcPr>
            <w:tcW w:w="865" w:type="dxa"/>
            <w:vAlign w:val="center"/>
          </w:tcPr>
          <w:p w14:paraId="2677A383">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5336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53" w:type="dxa"/>
            <w:vMerge w:val="continue"/>
            <w:vAlign w:val="center"/>
          </w:tcPr>
          <w:p w14:paraId="0EA34EF4">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2DB04ED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33DE1C4E">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恩城街道</w:t>
            </w:r>
          </w:p>
        </w:tc>
        <w:tc>
          <w:tcPr>
            <w:tcW w:w="5865" w:type="dxa"/>
            <w:vAlign w:val="center"/>
          </w:tcPr>
          <w:p w14:paraId="4198DBEE">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恩平市稳洁无纺布有限公司恩城分公司</w:t>
            </w:r>
          </w:p>
        </w:tc>
        <w:tc>
          <w:tcPr>
            <w:tcW w:w="865" w:type="dxa"/>
            <w:vAlign w:val="center"/>
          </w:tcPr>
          <w:p w14:paraId="2D675CF9">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06F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72258C15">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051422A1">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5379BC56">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东成镇</w:t>
            </w:r>
          </w:p>
        </w:tc>
        <w:tc>
          <w:tcPr>
            <w:tcW w:w="5865" w:type="dxa"/>
            <w:vAlign w:val="center"/>
          </w:tcPr>
          <w:p w14:paraId="0699773F">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恩平锦兴纺织印染企业有限公司</w:t>
            </w:r>
          </w:p>
        </w:tc>
        <w:tc>
          <w:tcPr>
            <w:tcW w:w="865" w:type="dxa"/>
            <w:vAlign w:val="center"/>
          </w:tcPr>
          <w:p w14:paraId="21C142B9">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3CB1D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67F14466">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1D67D2D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235F7AF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沙湖镇</w:t>
            </w:r>
          </w:p>
        </w:tc>
        <w:tc>
          <w:tcPr>
            <w:tcW w:w="5865" w:type="dxa"/>
            <w:vAlign w:val="center"/>
          </w:tcPr>
          <w:p w14:paraId="7B16D9B8">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恩平怀兴造纸有限公司</w:t>
            </w:r>
          </w:p>
        </w:tc>
        <w:tc>
          <w:tcPr>
            <w:tcW w:w="865" w:type="dxa"/>
            <w:vAlign w:val="center"/>
          </w:tcPr>
          <w:p w14:paraId="70406268">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20BD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2E506DC8">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6</w:t>
            </w:r>
          </w:p>
        </w:tc>
        <w:tc>
          <w:tcPr>
            <w:tcW w:w="4537" w:type="dxa"/>
            <w:vMerge w:val="restart"/>
            <w:vAlign w:val="center"/>
          </w:tcPr>
          <w:p w14:paraId="0DF5182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lang w:eastAsia="zh-CN"/>
                <w14:textFill>
                  <w14:solidFill>
                    <w14:schemeClr w14:val="tx1"/>
                  </w14:solidFill>
                </w14:textFill>
              </w:rPr>
              <w:t>建材企业</w:t>
            </w:r>
            <w:r>
              <w:rPr>
                <w:rFonts w:hint="eastAsia" w:ascii="仿宋" w:hAnsi="仿宋" w:eastAsia="仿宋" w:cs="仿宋"/>
                <w:b/>
                <w:color w:val="000000" w:themeColor="text1"/>
                <w:sz w:val="24"/>
                <w:szCs w:val="24"/>
                <w14:textFill>
                  <w14:solidFill>
                    <w14:schemeClr w14:val="tx1"/>
                  </w14:solidFill>
                </w14:textFill>
              </w:rPr>
              <w:t>安全</w:t>
            </w:r>
            <w:r>
              <w:rPr>
                <w:rFonts w:hint="eastAsia" w:ascii="仿宋" w:hAnsi="仿宋" w:eastAsia="仿宋" w:cs="仿宋"/>
                <w:b/>
                <w:color w:val="000000" w:themeColor="text1"/>
                <w:sz w:val="24"/>
                <w:szCs w:val="24"/>
                <w:lang w:eastAsia="zh-CN"/>
                <w14:textFill>
                  <w14:solidFill>
                    <w14:schemeClr w14:val="tx1"/>
                  </w14:solidFill>
                </w14:textFill>
              </w:rPr>
              <w:t>监督</w:t>
            </w:r>
            <w:r>
              <w:rPr>
                <w:rFonts w:hint="eastAsia" w:ascii="仿宋" w:hAnsi="仿宋" w:eastAsia="仿宋" w:cs="仿宋"/>
                <w:b/>
                <w:color w:val="000000" w:themeColor="text1"/>
                <w:sz w:val="24"/>
                <w:szCs w:val="24"/>
                <w14:textFill>
                  <w14:solidFill>
                    <w14:schemeClr w14:val="tx1"/>
                  </w14:solidFill>
                </w14:textFill>
              </w:rPr>
              <w:t>检查</w:t>
            </w:r>
          </w:p>
        </w:tc>
        <w:tc>
          <w:tcPr>
            <w:tcW w:w="1546" w:type="dxa"/>
            <w:vAlign w:val="center"/>
          </w:tcPr>
          <w:p w14:paraId="7DBDFE2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东成镇</w:t>
            </w:r>
          </w:p>
        </w:tc>
        <w:tc>
          <w:tcPr>
            <w:tcW w:w="5865" w:type="dxa"/>
            <w:vAlign w:val="center"/>
          </w:tcPr>
          <w:p w14:paraId="47EC990B">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恩平市金坑建材有限公司</w:t>
            </w:r>
          </w:p>
        </w:tc>
        <w:tc>
          <w:tcPr>
            <w:tcW w:w="865" w:type="dxa"/>
            <w:vAlign w:val="center"/>
          </w:tcPr>
          <w:p w14:paraId="38B29669">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3DE0B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5B70033C">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65514E3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lang w:eastAsia="zh-CN"/>
                <w14:textFill>
                  <w14:solidFill>
                    <w14:schemeClr w14:val="tx1"/>
                  </w14:solidFill>
                </w14:textFill>
              </w:rPr>
            </w:pPr>
          </w:p>
        </w:tc>
        <w:tc>
          <w:tcPr>
            <w:tcW w:w="1546" w:type="dxa"/>
            <w:vAlign w:val="center"/>
          </w:tcPr>
          <w:p w14:paraId="02377921">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沙湖镇</w:t>
            </w:r>
          </w:p>
        </w:tc>
        <w:tc>
          <w:tcPr>
            <w:tcW w:w="5865" w:type="dxa"/>
            <w:vAlign w:val="center"/>
          </w:tcPr>
          <w:p w14:paraId="38325434">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恩平市新锦成陶瓷有限公司</w:t>
            </w:r>
          </w:p>
        </w:tc>
        <w:tc>
          <w:tcPr>
            <w:tcW w:w="865" w:type="dxa"/>
            <w:vAlign w:val="center"/>
          </w:tcPr>
          <w:p w14:paraId="48CFF6E7">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69BB5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7429E36B">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2C1F163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lang w:eastAsia="zh-CN"/>
                <w14:textFill>
                  <w14:solidFill>
                    <w14:schemeClr w14:val="tx1"/>
                  </w14:solidFill>
                </w14:textFill>
              </w:rPr>
            </w:pPr>
          </w:p>
        </w:tc>
        <w:tc>
          <w:tcPr>
            <w:tcW w:w="1546" w:type="dxa"/>
            <w:vAlign w:val="center"/>
          </w:tcPr>
          <w:p w14:paraId="1ADCB3E1">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沙湖</w:t>
            </w:r>
            <w:r>
              <w:rPr>
                <w:rFonts w:hint="eastAsia" w:ascii="仿宋" w:hAnsi="仿宋" w:eastAsia="仿宋" w:cs="仿宋"/>
                <w:color w:val="000000" w:themeColor="text1"/>
                <w:sz w:val="24"/>
                <w:szCs w:val="24"/>
                <w:lang w:eastAsia="zh-CN"/>
                <w14:textFill>
                  <w14:solidFill>
                    <w14:schemeClr w14:val="tx1"/>
                  </w14:solidFill>
                </w14:textFill>
              </w:rPr>
              <w:t>镇</w:t>
            </w:r>
          </w:p>
        </w:tc>
        <w:tc>
          <w:tcPr>
            <w:tcW w:w="5865" w:type="dxa"/>
            <w:vAlign w:val="center"/>
          </w:tcPr>
          <w:p w14:paraId="331AFFCA">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广东骏高陶瓷有限公司</w:t>
            </w:r>
          </w:p>
        </w:tc>
        <w:tc>
          <w:tcPr>
            <w:tcW w:w="865" w:type="dxa"/>
            <w:vAlign w:val="center"/>
          </w:tcPr>
          <w:p w14:paraId="1B3BE8A6">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E3BD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53A8C131">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03BD2E26">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lang w:eastAsia="zh-CN"/>
                <w14:textFill>
                  <w14:solidFill>
                    <w14:schemeClr w14:val="tx1"/>
                  </w14:solidFill>
                </w14:textFill>
              </w:rPr>
            </w:pPr>
          </w:p>
        </w:tc>
        <w:tc>
          <w:tcPr>
            <w:tcW w:w="1546" w:type="dxa"/>
            <w:vAlign w:val="center"/>
          </w:tcPr>
          <w:p w14:paraId="1E8C3CF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沙湖镇</w:t>
            </w:r>
          </w:p>
        </w:tc>
        <w:tc>
          <w:tcPr>
            <w:tcW w:w="5865" w:type="dxa"/>
            <w:vAlign w:val="center"/>
          </w:tcPr>
          <w:p w14:paraId="51DD0ACE">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广东盛世鲲鹏陶瓷有限公司</w:t>
            </w:r>
          </w:p>
        </w:tc>
        <w:tc>
          <w:tcPr>
            <w:tcW w:w="865" w:type="dxa"/>
            <w:vAlign w:val="center"/>
          </w:tcPr>
          <w:p w14:paraId="3247C735">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20CC7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6E90E541">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1E06416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lang w:eastAsia="zh-CN"/>
                <w14:textFill>
                  <w14:solidFill>
                    <w14:schemeClr w14:val="tx1"/>
                  </w14:solidFill>
                </w14:textFill>
              </w:rPr>
            </w:pPr>
          </w:p>
        </w:tc>
        <w:tc>
          <w:tcPr>
            <w:tcW w:w="1546" w:type="dxa"/>
            <w:vAlign w:val="center"/>
          </w:tcPr>
          <w:p w14:paraId="3D97EA10">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横陂镇</w:t>
            </w:r>
          </w:p>
        </w:tc>
        <w:tc>
          <w:tcPr>
            <w:tcW w:w="5865" w:type="dxa"/>
            <w:vAlign w:val="center"/>
          </w:tcPr>
          <w:p w14:paraId="422AB7B0">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w:t>
            </w:r>
            <w:r>
              <w:rPr>
                <w:rFonts w:hint="eastAsia" w:ascii="仿宋" w:hAnsi="仿宋" w:eastAsia="仿宋" w:cs="仿宋"/>
                <w:color w:val="000000" w:themeColor="text1"/>
                <w:kern w:val="0"/>
                <w:sz w:val="24"/>
                <w:szCs w:val="24"/>
                <w:highlight w:val="none"/>
                <w:lang w:val="en-US" w:eastAsia="zh-CN"/>
                <w14:textFill>
                  <w14:solidFill>
                    <w14:schemeClr w14:val="tx1"/>
                  </w14:solidFill>
                </w14:textFill>
              </w:rPr>
              <w:t>东中创瓷业科技有</w:t>
            </w:r>
            <w:r>
              <w:rPr>
                <w:rFonts w:hint="eastAsia" w:ascii="仿宋" w:hAnsi="仿宋" w:eastAsia="仿宋" w:cs="仿宋"/>
                <w:color w:val="000000" w:themeColor="text1"/>
                <w:kern w:val="0"/>
                <w:sz w:val="24"/>
                <w:szCs w:val="24"/>
                <w:lang w:val="en-US" w:eastAsia="zh-CN"/>
                <w14:textFill>
                  <w14:solidFill>
                    <w14:schemeClr w14:val="tx1"/>
                  </w14:solidFill>
                </w14:textFill>
              </w:rPr>
              <w:t>限公司</w:t>
            </w:r>
          </w:p>
        </w:tc>
        <w:tc>
          <w:tcPr>
            <w:tcW w:w="865" w:type="dxa"/>
            <w:vAlign w:val="center"/>
          </w:tcPr>
          <w:p w14:paraId="1041064D">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60EB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34A27518">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7C1309AF">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lang w:eastAsia="zh-CN"/>
                <w14:textFill>
                  <w14:solidFill>
                    <w14:schemeClr w14:val="tx1"/>
                  </w14:solidFill>
                </w14:textFill>
              </w:rPr>
            </w:pPr>
          </w:p>
        </w:tc>
        <w:tc>
          <w:tcPr>
            <w:tcW w:w="1546" w:type="dxa"/>
            <w:vAlign w:val="center"/>
          </w:tcPr>
          <w:p w14:paraId="659C992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横陂镇</w:t>
            </w:r>
          </w:p>
        </w:tc>
        <w:tc>
          <w:tcPr>
            <w:tcW w:w="5865" w:type="dxa"/>
            <w:vAlign w:val="center"/>
          </w:tcPr>
          <w:p w14:paraId="4A63195E">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恩平市祥达陶瓷有限公司</w:t>
            </w:r>
          </w:p>
        </w:tc>
        <w:tc>
          <w:tcPr>
            <w:tcW w:w="865" w:type="dxa"/>
            <w:vAlign w:val="center"/>
          </w:tcPr>
          <w:p w14:paraId="311BDC6C">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22E92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33849772">
            <w:pPr>
              <w:keepNext w:val="0"/>
              <w:keepLines w:val="0"/>
              <w:pageBreakBefore w:val="0"/>
              <w:widowControl/>
              <w:tabs>
                <w:tab w:val="left" w:pos="235"/>
              </w:tabs>
              <w:kinsoku/>
              <w:wordWrap/>
              <w:overflowPunct/>
              <w:topLinePunct w:val="0"/>
              <w:autoSpaceDE/>
              <w:autoSpaceDN/>
              <w:bidi w:val="0"/>
              <w:adjustRightInd/>
              <w:snapToGrid/>
              <w:spacing w:line="400" w:lineRule="exact"/>
              <w:ind w:right="-320" w:rightChars="-100"/>
              <w:jc w:val="both"/>
              <w:rPr>
                <w:rFonts w:hint="default"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7</w:t>
            </w:r>
          </w:p>
        </w:tc>
        <w:tc>
          <w:tcPr>
            <w:tcW w:w="4537" w:type="dxa"/>
            <w:vMerge w:val="restart"/>
            <w:vAlign w:val="center"/>
          </w:tcPr>
          <w:p w14:paraId="49B7CC00">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使用</w:t>
            </w:r>
            <w:r>
              <w:rPr>
                <w:rFonts w:hint="eastAsia" w:ascii="仿宋" w:hAnsi="仿宋" w:eastAsia="仿宋" w:cs="仿宋"/>
                <w:b/>
                <w:color w:val="000000" w:themeColor="text1"/>
                <w:sz w:val="24"/>
                <w:szCs w:val="24"/>
                <w:lang w:val="en-US" w:eastAsia="zh-CN"/>
                <w14:textFill>
                  <w14:solidFill>
                    <w14:schemeClr w14:val="tx1"/>
                  </w14:solidFill>
                </w14:textFill>
              </w:rPr>
              <w:t>非药类</w:t>
            </w:r>
            <w:r>
              <w:rPr>
                <w:rFonts w:hint="eastAsia" w:ascii="仿宋" w:hAnsi="仿宋" w:eastAsia="仿宋" w:cs="仿宋"/>
                <w:b/>
                <w:color w:val="000000" w:themeColor="text1"/>
                <w:sz w:val="24"/>
                <w:szCs w:val="24"/>
                <w14:textFill>
                  <w14:solidFill>
                    <w14:schemeClr w14:val="tx1"/>
                  </w14:solidFill>
                </w14:textFill>
              </w:rPr>
              <w:t>易制毒化学品的工贸企业</w:t>
            </w:r>
          </w:p>
          <w:p w14:paraId="77DFE93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安全</w:t>
            </w:r>
            <w:r>
              <w:rPr>
                <w:rFonts w:hint="eastAsia" w:ascii="仿宋" w:hAnsi="仿宋" w:eastAsia="仿宋" w:cs="仿宋"/>
                <w:b/>
                <w:color w:val="000000" w:themeColor="text1"/>
                <w:sz w:val="24"/>
                <w:szCs w:val="24"/>
                <w:lang w:eastAsia="zh-CN"/>
                <w14:textFill>
                  <w14:solidFill>
                    <w14:schemeClr w14:val="tx1"/>
                  </w14:solidFill>
                </w14:textFill>
              </w:rPr>
              <w:t>监督</w:t>
            </w:r>
            <w:r>
              <w:rPr>
                <w:rFonts w:hint="eastAsia" w:ascii="仿宋" w:hAnsi="仿宋" w:eastAsia="仿宋" w:cs="仿宋"/>
                <w:b/>
                <w:color w:val="000000" w:themeColor="text1"/>
                <w:sz w:val="24"/>
                <w:szCs w:val="24"/>
                <w14:textFill>
                  <w14:solidFill>
                    <w14:schemeClr w14:val="tx1"/>
                  </w14:solidFill>
                </w14:textFill>
              </w:rPr>
              <w:t>检查</w:t>
            </w:r>
          </w:p>
        </w:tc>
        <w:tc>
          <w:tcPr>
            <w:tcW w:w="1546" w:type="dxa"/>
            <w:vAlign w:val="center"/>
          </w:tcPr>
          <w:p w14:paraId="7272659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大槐镇</w:t>
            </w:r>
          </w:p>
        </w:tc>
        <w:tc>
          <w:tcPr>
            <w:tcW w:w="5865" w:type="dxa"/>
            <w:vAlign w:val="center"/>
          </w:tcPr>
          <w:p w14:paraId="0946AF95">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恩平市八音电子科技有限公司</w:t>
            </w:r>
          </w:p>
        </w:tc>
        <w:tc>
          <w:tcPr>
            <w:tcW w:w="865" w:type="dxa"/>
            <w:vAlign w:val="center"/>
          </w:tcPr>
          <w:p w14:paraId="105E2F8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4BC62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3D8D2BBF">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14:textFill>
                  <w14:solidFill>
                    <w14:schemeClr w14:val="tx1"/>
                  </w14:solidFill>
                </w14:textFill>
              </w:rPr>
            </w:pPr>
          </w:p>
        </w:tc>
        <w:tc>
          <w:tcPr>
            <w:tcW w:w="4537" w:type="dxa"/>
            <w:vMerge w:val="continue"/>
            <w:vAlign w:val="center"/>
          </w:tcPr>
          <w:p w14:paraId="09C3DBA1">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6F1331B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圣堂镇</w:t>
            </w:r>
          </w:p>
        </w:tc>
        <w:tc>
          <w:tcPr>
            <w:tcW w:w="5865" w:type="dxa"/>
            <w:vAlign w:val="center"/>
          </w:tcPr>
          <w:p w14:paraId="6E83912E">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恩平市元子高新材料科技有限公司</w:t>
            </w:r>
          </w:p>
        </w:tc>
        <w:tc>
          <w:tcPr>
            <w:tcW w:w="865" w:type="dxa"/>
            <w:vAlign w:val="center"/>
          </w:tcPr>
          <w:p w14:paraId="50BD8489">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3A20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37E01A1F">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14:textFill>
                  <w14:solidFill>
                    <w14:schemeClr w14:val="tx1"/>
                  </w14:solidFill>
                </w14:textFill>
              </w:rPr>
            </w:pPr>
          </w:p>
        </w:tc>
        <w:tc>
          <w:tcPr>
            <w:tcW w:w="4537" w:type="dxa"/>
            <w:vMerge w:val="continue"/>
            <w:vAlign w:val="center"/>
          </w:tcPr>
          <w:p w14:paraId="50BE128A">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6D69990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东成镇</w:t>
            </w:r>
          </w:p>
        </w:tc>
        <w:tc>
          <w:tcPr>
            <w:tcW w:w="5865" w:type="dxa"/>
            <w:vAlign w:val="center"/>
          </w:tcPr>
          <w:p w14:paraId="50495DD5">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恩平市唯科电子有限公司</w:t>
            </w:r>
          </w:p>
        </w:tc>
        <w:tc>
          <w:tcPr>
            <w:tcW w:w="865" w:type="dxa"/>
            <w:vAlign w:val="center"/>
          </w:tcPr>
          <w:p w14:paraId="33E440A3">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31D4F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blHeader/>
          <w:jc w:val="center"/>
        </w:trPr>
        <w:tc>
          <w:tcPr>
            <w:tcW w:w="753" w:type="dxa"/>
            <w:vMerge w:val="continue"/>
            <w:vAlign w:val="center"/>
          </w:tcPr>
          <w:p w14:paraId="09EC99CA">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14:textFill>
                  <w14:solidFill>
                    <w14:schemeClr w14:val="tx1"/>
                  </w14:solidFill>
                </w14:textFill>
              </w:rPr>
            </w:pPr>
          </w:p>
        </w:tc>
        <w:tc>
          <w:tcPr>
            <w:tcW w:w="4537" w:type="dxa"/>
            <w:vMerge w:val="continue"/>
            <w:vAlign w:val="center"/>
          </w:tcPr>
          <w:p w14:paraId="2B6F0BA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p>
        </w:tc>
        <w:tc>
          <w:tcPr>
            <w:tcW w:w="1546" w:type="dxa"/>
            <w:vAlign w:val="center"/>
          </w:tcPr>
          <w:p w14:paraId="0CEC6FD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东成镇</w:t>
            </w:r>
          </w:p>
        </w:tc>
        <w:tc>
          <w:tcPr>
            <w:tcW w:w="5865" w:type="dxa"/>
            <w:vAlign w:val="center"/>
          </w:tcPr>
          <w:p w14:paraId="7B9CEEF9">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广东锦绣建材科技有限公司</w:t>
            </w:r>
          </w:p>
        </w:tc>
        <w:tc>
          <w:tcPr>
            <w:tcW w:w="865" w:type="dxa"/>
            <w:vAlign w:val="center"/>
          </w:tcPr>
          <w:p w14:paraId="08B47BB6">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6321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blHeader/>
          <w:jc w:val="center"/>
        </w:trPr>
        <w:tc>
          <w:tcPr>
            <w:tcW w:w="753" w:type="dxa"/>
            <w:vAlign w:val="center"/>
          </w:tcPr>
          <w:p w14:paraId="66F22A71">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8</w:t>
            </w:r>
          </w:p>
        </w:tc>
        <w:tc>
          <w:tcPr>
            <w:tcW w:w="4537" w:type="dxa"/>
            <w:vAlign w:val="center"/>
          </w:tcPr>
          <w:p w14:paraId="2EF92136">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bCs/>
                <w:color w:val="auto"/>
                <w:sz w:val="24"/>
                <w:szCs w:val="24"/>
                <w:lang w:val="en-US" w:eastAsia="zh-CN"/>
              </w:rPr>
              <w:t>2024年发生过人员死亡或受伤的生产安全事故</w:t>
            </w:r>
            <w:r>
              <w:rPr>
                <w:rFonts w:hint="eastAsia" w:ascii="仿宋" w:hAnsi="仿宋" w:eastAsia="仿宋" w:cs="仿宋"/>
                <w:b/>
                <w:bCs/>
                <w:color w:val="auto"/>
                <w:sz w:val="24"/>
                <w:szCs w:val="24"/>
                <w:lang w:eastAsia="zh-CN"/>
              </w:rPr>
              <w:t>工贸</w:t>
            </w:r>
            <w:r>
              <w:rPr>
                <w:rFonts w:hint="eastAsia" w:ascii="仿宋" w:hAnsi="仿宋" w:eastAsia="仿宋" w:cs="仿宋"/>
                <w:b/>
                <w:bCs/>
                <w:color w:val="auto"/>
                <w:sz w:val="24"/>
                <w:szCs w:val="24"/>
                <w:lang w:val="en-US" w:eastAsia="zh-CN"/>
              </w:rPr>
              <w:t>企业</w:t>
            </w:r>
            <w:r>
              <w:rPr>
                <w:rFonts w:hint="eastAsia" w:ascii="仿宋" w:hAnsi="仿宋" w:eastAsia="仿宋" w:cs="仿宋"/>
                <w:b/>
                <w:bCs/>
                <w:color w:val="auto"/>
                <w:sz w:val="24"/>
                <w:szCs w:val="24"/>
                <w:lang w:eastAsia="zh-CN"/>
              </w:rPr>
              <w:t>检查</w:t>
            </w:r>
          </w:p>
        </w:tc>
        <w:tc>
          <w:tcPr>
            <w:tcW w:w="1546" w:type="dxa"/>
            <w:vAlign w:val="center"/>
          </w:tcPr>
          <w:p w14:paraId="4CFC4BA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沙湖镇</w:t>
            </w:r>
          </w:p>
        </w:tc>
        <w:tc>
          <w:tcPr>
            <w:tcW w:w="5865" w:type="dxa"/>
            <w:vAlign w:val="center"/>
          </w:tcPr>
          <w:p w14:paraId="40259B36">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恩平市宇邦陶瓷有限公司</w:t>
            </w:r>
          </w:p>
        </w:tc>
        <w:tc>
          <w:tcPr>
            <w:tcW w:w="865" w:type="dxa"/>
            <w:vAlign w:val="center"/>
          </w:tcPr>
          <w:p w14:paraId="31BAD47A">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2</w:t>
            </w:r>
          </w:p>
        </w:tc>
      </w:tr>
      <w:tr w14:paraId="7982F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7650127F">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default"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9</w:t>
            </w:r>
          </w:p>
        </w:tc>
        <w:tc>
          <w:tcPr>
            <w:tcW w:w="4537" w:type="dxa"/>
            <w:vMerge w:val="restart"/>
            <w:vAlign w:val="center"/>
          </w:tcPr>
          <w:p w14:paraId="79BBBD5A">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工贸行业电镀企业危险化学品使用</w:t>
            </w:r>
          </w:p>
          <w:p w14:paraId="109093D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bCs/>
                <w:color w:val="auto"/>
                <w:sz w:val="24"/>
                <w:szCs w:val="24"/>
                <w:lang w:val="en-US" w:eastAsia="zh-CN"/>
              </w:rPr>
            </w:pPr>
            <w:r>
              <w:rPr>
                <w:rFonts w:hint="eastAsia" w:ascii="仿宋" w:hAnsi="仿宋" w:eastAsia="仿宋" w:cs="仿宋"/>
                <w:b/>
                <w:color w:val="auto"/>
                <w:sz w:val="24"/>
                <w:szCs w:val="24"/>
                <w:highlight w:val="none"/>
                <w:lang w:val="en-US" w:eastAsia="zh-CN"/>
              </w:rPr>
              <w:t>安全监督检查</w:t>
            </w:r>
          </w:p>
        </w:tc>
        <w:tc>
          <w:tcPr>
            <w:tcW w:w="1546" w:type="dxa"/>
            <w:vAlign w:val="center"/>
          </w:tcPr>
          <w:p w14:paraId="3F951F49">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圣堂镇</w:t>
            </w:r>
          </w:p>
        </w:tc>
        <w:tc>
          <w:tcPr>
            <w:tcW w:w="5865" w:type="dxa"/>
            <w:vAlign w:val="center"/>
          </w:tcPr>
          <w:p w14:paraId="6F47EA81">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恩平市富泓五金工艺有限公司</w:t>
            </w:r>
          </w:p>
        </w:tc>
        <w:tc>
          <w:tcPr>
            <w:tcW w:w="865" w:type="dxa"/>
            <w:vAlign w:val="center"/>
          </w:tcPr>
          <w:p w14:paraId="277B6BE0">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6AAEE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118B99A9">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554FC46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p>
        </w:tc>
        <w:tc>
          <w:tcPr>
            <w:tcW w:w="1546" w:type="dxa"/>
            <w:vAlign w:val="center"/>
          </w:tcPr>
          <w:p w14:paraId="4AA2A6A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圣堂镇</w:t>
            </w:r>
          </w:p>
        </w:tc>
        <w:tc>
          <w:tcPr>
            <w:tcW w:w="5865" w:type="dxa"/>
            <w:vAlign w:val="center"/>
          </w:tcPr>
          <w:p w14:paraId="151720CD">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恩平市盛力金属表面加工有限公司</w:t>
            </w:r>
          </w:p>
        </w:tc>
        <w:tc>
          <w:tcPr>
            <w:tcW w:w="865" w:type="dxa"/>
            <w:vAlign w:val="center"/>
          </w:tcPr>
          <w:p w14:paraId="0E7770B1">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CD29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05340606">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4A0C770B">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p>
        </w:tc>
        <w:tc>
          <w:tcPr>
            <w:tcW w:w="1546" w:type="dxa"/>
            <w:vAlign w:val="center"/>
          </w:tcPr>
          <w:p w14:paraId="7B20C8C3">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圣堂镇</w:t>
            </w:r>
          </w:p>
        </w:tc>
        <w:tc>
          <w:tcPr>
            <w:tcW w:w="5865" w:type="dxa"/>
            <w:vAlign w:val="center"/>
          </w:tcPr>
          <w:p w14:paraId="60E73255">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恩平市美顺金属新材料有限公司</w:t>
            </w:r>
          </w:p>
        </w:tc>
        <w:tc>
          <w:tcPr>
            <w:tcW w:w="865" w:type="dxa"/>
            <w:vAlign w:val="center"/>
          </w:tcPr>
          <w:p w14:paraId="367CE164">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E7F3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0DA780F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34C2869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p>
        </w:tc>
        <w:tc>
          <w:tcPr>
            <w:tcW w:w="1546" w:type="dxa"/>
            <w:vAlign w:val="center"/>
          </w:tcPr>
          <w:p w14:paraId="38FD4D5B">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圣堂镇</w:t>
            </w:r>
          </w:p>
        </w:tc>
        <w:tc>
          <w:tcPr>
            <w:tcW w:w="5865" w:type="dxa"/>
            <w:vAlign w:val="center"/>
          </w:tcPr>
          <w:p w14:paraId="3DF600C7">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棋瑞不锈钢科技（江门市）有限公司</w:t>
            </w:r>
          </w:p>
        </w:tc>
        <w:tc>
          <w:tcPr>
            <w:tcW w:w="865" w:type="dxa"/>
            <w:vAlign w:val="center"/>
          </w:tcPr>
          <w:p w14:paraId="34356146">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default"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602E5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blHeader/>
          <w:jc w:val="center"/>
        </w:trPr>
        <w:tc>
          <w:tcPr>
            <w:tcW w:w="753" w:type="dxa"/>
            <w:vMerge w:val="continue"/>
            <w:vAlign w:val="center"/>
          </w:tcPr>
          <w:p w14:paraId="5477B49F">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3FEDCFA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p>
        </w:tc>
        <w:tc>
          <w:tcPr>
            <w:tcW w:w="1546" w:type="dxa"/>
            <w:vAlign w:val="center"/>
          </w:tcPr>
          <w:p w14:paraId="7E56A4F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圣堂镇</w:t>
            </w:r>
          </w:p>
        </w:tc>
        <w:tc>
          <w:tcPr>
            <w:tcW w:w="5865" w:type="dxa"/>
            <w:vAlign w:val="center"/>
          </w:tcPr>
          <w:p w14:paraId="040B4C6A">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恩平市联鑫五金加工厂工艺有限公司</w:t>
            </w:r>
          </w:p>
        </w:tc>
        <w:tc>
          <w:tcPr>
            <w:tcW w:w="865" w:type="dxa"/>
            <w:vAlign w:val="center"/>
          </w:tcPr>
          <w:p w14:paraId="00269E91">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1ACB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5BD06A2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27B4F13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p>
        </w:tc>
        <w:tc>
          <w:tcPr>
            <w:tcW w:w="1546" w:type="dxa"/>
            <w:vAlign w:val="center"/>
          </w:tcPr>
          <w:p w14:paraId="5D42BDD8">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圣堂镇</w:t>
            </w:r>
          </w:p>
        </w:tc>
        <w:tc>
          <w:tcPr>
            <w:tcW w:w="5865" w:type="dxa"/>
            <w:vAlign w:val="center"/>
          </w:tcPr>
          <w:p w14:paraId="1DFCCF7A">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val="en-US" w:eastAsia="zh-CN"/>
                <w14:textFill>
                  <w14:solidFill>
                    <w14:schemeClr w14:val="tx1"/>
                  </w14:solidFill>
                </w14:textFill>
              </w:rPr>
            </w:pPr>
            <w:bookmarkStart w:id="0" w:name="_GoBack"/>
            <w:r>
              <w:rPr>
                <w:rFonts w:hint="eastAsia" w:ascii="仿宋" w:hAnsi="仿宋" w:eastAsia="仿宋" w:cs="仿宋"/>
                <w:color w:val="000000" w:themeColor="text1"/>
                <w:sz w:val="24"/>
                <w:szCs w:val="24"/>
                <w:highlight w:val="yellow"/>
                <w:lang w:val="en-US" w:eastAsia="zh-CN"/>
                <w14:textFill>
                  <w14:solidFill>
                    <w14:schemeClr w14:val="tx1"/>
                  </w14:solidFill>
                </w14:textFill>
              </w:rPr>
              <w:t>李永生五金厂</w:t>
            </w:r>
            <w:bookmarkEnd w:id="0"/>
          </w:p>
        </w:tc>
        <w:tc>
          <w:tcPr>
            <w:tcW w:w="865" w:type="dxa"/>
            <w:vAlign w:val="center"/>
          </w:tcPr>
          <w:p w14:paraId="3E96E1D1">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6F7C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65C5F476">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default"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10</w:t>
            </w:r>
          </w:p>
        </w:tc>
        <w:tc>
          <w:tcPr>
            <w:tcW w:w="4537" w:type="dxa"/>
            <w:vMerge w:val="restart"/>
            <w:vAlign w:val="center"/>
          </w:tcPr>
          <w:p w14:paraId="25DCE32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非药品类易制毒化学品经营企业</w:t>
            </w:r>
          </w:p>
          <w:p w14:paraId="7B3344F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rPr>
              <w:t>安全监督检查</w:t>
            </w:r>
          </w:p>
        </w:tc>
        <w:tc>
          <w:tcPr>
            <w:tcW w:w="1546" w:type="dxa"/>
            <w:vAlign w:val="center"/>
          </w:tcPr>
          <w:p w14:paraId="242C84AB">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沙湖</w:t>
            </w:r>
            <w:r>
              <w:rPr>
                <w:rFonts w:hint="eastAsia" w:ascii="仿宋" w:hAnsi="仿宋" w:eastAsia="仿宋" w:cs="仿宋"/>
                <w:color w:val="auto"/>
                <w:sz w:val="24"/>
                <w:szCs w:val="24"/>
                <w:highlight w:val="none"/>
              </w:rPr>
              <w:t>镇</w:t>
            </w:r>
          </w:p>
        </w:tc>
        <w:tc>
          <w:tcPr>
            <w:tcW w:w="5865" w:type="dxa"/>
            <w:vAlign w:val="center"/>
          </w:tcPr>
          <w:p w14:paraId="6472F4D8">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恩平市珠江天然气有限公司</w:t>
            </w:r>
          </w:p>
        </w:tc>
        <w:tc>
          <w:tcPr>
            <w:tcW w:w="865" w:type="dxa"/>
            <w:vAlign w:val="center"/>
          </w:tcPr>
          <w:p w14:paraId="448EE593">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5D1F0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2EDBF19C">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65D82A18">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p>
        </w:tc>
        <w:tc>
          <w:tcPr>
            <w:tcW w:w="1546" w:type="dxa"/>
            <w:vAlign w:val="center"/>
          </w:tcPr>
          <w:p w14:paraId="60825A0A">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东成</w:t>
            </w:r>
            <w:r>
              <w:rPr>
                <w:rFonts w:hint="eastAsia" w:ascii="仿宋" w:hAnsi="仿宋" w:eastAsia="仿宋" w:cs="仿宋"/>
                <w:color w:val="auto"/>
                <w:sz w:val="24"/>
                <w:szCs w:val="24"/>
                <w:highlight w:val="none"/>
              </w:rPr>
              <w:t>镇</w:t>
            </w:r>
          </w:p>
        </w:tc>
        <w:tc>
          <w:tcPr>
            <w:tcW w:w="5865" w:type="dxa"/>
            <w:vAlign w:val="center"/>
          </w:tcPr>
          <w:p w14:paraId="28A12A20">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恩平佛燃珠江燃气有限公司</w:t>
            </w:r>
          </w:p>
        </w:tc>
        <w:tc>
          <w:tcPr>
            <w:tcW w:w="865" w:type="dxa"/>
            <w:vAlign w:val="center"/>
          </w:tcPr>
          <w:p w14:paraId="567B85F6">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2C44E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6C421A7F">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6CA192C8">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p>
        </w:tc>
        <w:tc>
          <w:tcPr>
            <w:tcW w:w="1546" w:type="dxa"/>
            <w:vAlign w:val="center"/>
          </w:tcPr>
          <w:p w14:paraId="0900CDB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大槐镇</w:t>
            </w:r>
          </w:p>
        </w:tc>
        <w:tc>
          <w:tcPr>
            <w:tcW w:w="5865" w:type="dxa"/>
            <w:vAlign w:val="center"/>
          </w:tcPr>
          <w:p w14:paraId="4137A800">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恩平凯川贸易有限公司</w:t>
            </w:r>
          </w:p>
        </w:tc>
        <w:tc>
          <w:tcPr>
            <w:tcW w:w="865" w:type="dxa"/>
            <w:vAlign w:val="center"/>
          </w:tcPr>
          <w:p w14:paraId="34887E26">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7EF80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restart"/>
            <w:vAlign w:val="center"/>
          </w:tcPr>
          <w:p w14:paraId="37DB85A9">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default"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11</w:t>
            </w:r>
          </w:p>
        </w:tc>
        <w:tc>
          <w:tcPr>
            <w:tcW w:w="4537" w:type="dxa"/>
            <w:vMerge w:val="restart"/>
            <w:vAlign w:val="center"/>
          </w:tcPr>
          <w:p w14:paraId="173F2837">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使用非药品类易制毒化学品</w:t>
            </w:r>
            <w:r>
              <w:rPr>
                <w:rFonts w:hint="eastAsia" w:ascii="仿宋" w:hAnsi="仿宋" w:eastAsia="仿宋" w:cs="仿宋"/>
                <w:b/>
                <w:color w:val="auto"/>
                <w:sz w:val="24"/>
                <w:szCs w:val="24"/>
                <w:highlight w:val="none"/>
                <w:lang w:val="en-US" w:eastAsia="zh-CN"/>
              </w:rPr>
              <w:t>的化工</w:t>
            </w:r>
            <w:r>
              <w:rPr>
                <w:rFonts w:hint="eastAsia" w:ascii="仿宋" w:hAnsi="仿宋" w:eastAsia="仿宋" w:cs="仿宋"/>
                <w:b/>
                <w:color w:val="auto"/>
                <w:sz w:val="24"/>
                <w:szCs w:val="24"/>
                <w:highlight w:val="none"/>
              </w:rPr>
              <w:t>企业</w:t>
            </w:r>
          </w:p>
          <w:p w14:paraId="5E9DD62C">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rPr>
              <w:t>安全监督检查</w:t>
            </w:r>
          </w:p>
        </w:tc>
        <w:tc>
          <w:tcPr>
            <w:tcW w:w="1546" w:type="dxa"/>
            <w:vAlign w:val="center"/>
          </w:tcPr>
          <w:p w14:paraId="21C674C8">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恩城街道</w:t>
            </w:r>
          </w:p>
        </w:tc>
        <w:tc>
          <w:tcPr>
            <w:tcW w:w="5865" w:type="dxa"/>
            <w:vAlign w:val="center"/>
          </w:tcPr>
          <w:p w14:paraId="7C8F133E">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val="0"/>
                <w:bCs w:val="0"/>
                <w:color w:val="000000" w:themeColor="text1"/>
                <w:kern w:val="0"/>
                <w:sz w:val="24"/>
                <w:szCs w:val="24"/>
                <w14:textFill>
                  <w14:solidFill>
                    <w14:schemeClr w14:val="tx1"/>
                  </w14:solidFill>
                </w14:textFill>
              </w:rPr>
            </w:pPr>
            <w:r>
              <w:rPr>
                <w:rFonts w:hint="eastAsia" w:ascii="仿宋" w:hAnsi="仿宋" w:eastAsia="仿宋" w:cs="仿宋"/>
                <w:b w:val="0"/>
                <w:bCs w:val="0"/>
                <w:color w:val="000000" w:themeColor="text1"/>
                <w:kern w:val="0"/>
                <w:sz w:val="24"/>
                <w:szCs w:val="24"/>
                <w14:textFill>
                  <w14:solidFill>
                    <w14:schemeClr w14:val="tx1"/>
                  </w14:solidFill>
                </w14:textFill>
              </w:rPr>
              <w:t>恩平燕怡新材料有限公司</w:t>
            </w:r>
          </w:p>
        </w:tc>
        <w:tc>
          <w:tcPr>
            <w:tcW w:w="865" w:type="dxa"/>
            <w:vAlign w:val="center"/>
          </w:tcPr>
          <w:p w14:paraId="2EC04AD8">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1738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582649DA">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1AF42A5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p>
        </w:tc>
        <w:tc>
          <w:tcPr>
            <w:tcW w:w="1546" w:type="dxa"/>
            <w:vAlign w:val="center"/>
          </w:tcPr>
          <w:p w14:paraId="40ABD7A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东成镇</w:t>
            </w:r>
          </w:p>
        </w:tc>
        <w:tc>
          <w:tcPr>
            <w:tcW w:w="5865" w:type="dxa"/>
            <w:vAlign w:val="center"/>
          </w:tcPr>
          <w:p w14:paraId="15EBC149">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val="0"/>
                <w:bCs w:val="0"/>
                <w:color w:val="000000" w:themeColor="text1"/>
                <w:kern w:val="0"/>
                <w:sz w:val="24"/>
                <w:szCs w:val="24"/>
                <w14:textFill>
                  <w14:solidFill>
                    <w14:schemeClr w14:val="tx1"/>
                  </w14:solidFill>
                </w14:textFill>
              </w:rPr>
            </w:pPr>
            <w:r>
              <w:rPr>
                <w:rFonts w:hint="eastAsia" w:ascii="仿宋" w:hAnsi="仿宋" w:eastAsia="仿宋" w:cs="仿宋"/>
                <w:b w:val="0"/>
                <w:bCs w:val="0"/>
                <w:color w:val="000000" w:themeColor="text1"/>
                <w:kern w:val="0"/>
                <w:sz w:val="24"/>
                <w:szCs w:val="24"/>
                <w14:textFill>
                  <w14:solidFill>
                    <w14:schemeClr w14:val="tx1"/>
                  </w14:solidFill>
                </w14:textFill>
              </w:rPr>
              <w:t>恩平白翠华实业有限公司</w:t>
            </w:r>
          </w:p>
        </w:tc>
        <w:tc>
          <w:tcPr>
            <w:tcW w:w="865" w:type="dxa"/>
            <w:vAlign w:val="center"/>
          </w:tcPr>
          <w:p w14:paraId="1DD7C00B">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49CFB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678CEAF8">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395514B5">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p>
        </w:tc>
        <w:tc>
          <w:tcPr>
            <w:tcW w:w="1546" w:type="dxa"/>
            <w:vAlign w:val="center"/>
          </w:tcPr>
          <w:p w14:paraId="2409A031">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横陂镇</w:t>
            </w:r>
          </w:p>
        </w:tc>
        <w:tc>
          <w:tcPr>
            <w:tcW w:w="5865" w:type="dxa"/>
            <w:vAlign w:val="center"/>
          </w:tcPr>
          <w:p w14:paraId="3B82D974">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val="0"/>
                <w:bCs w:val="0"/>
                <w:color w:val="000000" w:themeColor="text1"/>
                <w:kern w:val="0"/>
                <w:sz w:val="24"/>
                <w:szCs w:val="24"/>
                <w14:textFill>
                  <w14:solidFill>
                    <w14:schemeClr w14:val="tx1"/>
                  </w14:solidFill>
                </w14:textFill>
              </w:rPr>
            </w:pPr>
            <w:r>
              <w:rPr>
                <w:rFonts w:hint="eastAsia" w:ascii="仿宋" w:hAnsi="仿宋" w:eastAsia="仿宋" w:cs="仿宋"/>
                <w:b w:val="0"/>
                <w:bCs w:val="0"/>
                <w:color w:val="000000" w:themeColor="text1"/>
                <w:kern w:val="0"/>
                <w:sz w:val="24"/>
                <w:szCs w:val="24"/>
                <w14:textFill>
                  <w14:solidFill>
                    <w14:schemeClr w14:val="tx1"/>
                  </w14:solidFill>
                </w14:textFill>
              </w:rPr>
              <w:t>恩平市汇成新材料有限公司</w:t>
            </w:r>
          </w:p>
        </w:tc>
        <w:tc>
          <w:tcPr>
            <w:tcW w:w="865" w:type="dxa"/>
            <w:vAlign w:val="center"/>
          </w:tcPr>
          <w:p w14:paraId="2FA190E6">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5130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753" w:type="dxa"/>
            <w:vMerge w:val="continue"/>
            <w:vAlign w:val="center"/>
          </w:tcPr>
          <w:p w14:paraId="2ED59480">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eastAsia" w:ascii="仿宋_GB2312" w:hAnsi="仿宋_GB2312" w:cs="仿宋_GB2312"/>
                <w:b/>
                <w:color w:val="000000" w:themeColor="text1"/>
                <w:kern w:val="0"/>
                <w:sz w:val="24"/>
                <w:szCs w:val="24"/>
                <w:lang w:val="en-US" w:eastAsia="zh-CN"/>
                <w14:textFill>
                  <w14:solidFill>
                    <w14:schemeClr w14:val="tx1"/>
                  </w14:solidFill>
                </w14:textFill>
              </w:rPr>
            </w:pPr>
          </w:p>
        </w:tc>
        <w:tc>
          <w:tcPr>
            <w:tcW w:w="4537" w:type="dxa"/>
            <w:vMerge w:val="continue"/>
            <w:vAlign w:val="center"/>
          </w:tcPr>
          <w:p w14:paraId="46DC3573">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p>
        </w:tc>
        <w:tc>
          <w:tcPr>
            <w:tcW w:w="1546" w:type="dxa"/>
            <w:vAlign w:val="center"/>
          </w:tcPr>
          <w:p w14:paraId="1099243F">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圣堂镇</w:t>
            </w:r>
          </w:p>
        </w:tc>
        <w:tc>
          <w:tcPr>
            <w:tcW w:w="5865" w:type="dxa"/>
            <w:vAlign w:val="center"/>
          </w:tcPr>
          <w:p w14:paraId="1830EB38">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val="0"/>
                <w:bCs w:val="0"/>
                <w:color w:val="000000" w:themeColor="text1"/>
                <w:kern w:val="0"/>
                <w:sz w:val="24"/>
                <w:szCs w:val="24"/>
                <w14:textFill>
                  <w14:solidFill>
                    <w14:schemeClr w14:val="tx1"/>
                  </w14:solidFill>
                </w14:textFill>
              </w:rPr>
            </w:pPr>
            <w:r>
              <w:rPr>
                <w:rFonts w:hint="eastAsia" w:ascii="仿宋" w:hAnsi="仿宋" w:eastAsia="仿宋" w:cs="仿宋"/>
                <w:b w:val="0"/>
                <w:bCs w:val="0"/>
                <w:color w:val="000000" w:themeColor="text1"/>
                <w:kern w:val="0"/>
                <w:sz w:val="24"/>
                <w:szCs w:val="24"/>
                <w14:textFill>
                  <w14:solidFill>
                    <w14:schemeClr w14:val="tx1"/>
                  </w14:solidFill>
                </w14:textFill>
              </w:rPr>
              <w:t>广东道氏陶瓷材料有限公司</w:t>
            </w:r>
          </w:p>
        </w:tc>
        <w:tc>
          <w:tcPr>
            <w:tcW w:w="865" w:type="dxa"/>
            <w:vAlign w:val="center"/>
          </w:tcPr>
          <w:p w14:paraId="761B967D">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w:t>
            </w:r>
          </w:p>
        </w:tc>
      </w:tr>
      <w:tr w14:paraId="0211D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blHeader/>
          <w:jc w:val="center"/>
        </w:trPr>
        <w:tc>
          <w:tcPr>
            <w:tcW w:w="753" w:type="dxa"/>
            <w:vAlign w:val="center"/>
          </w:tcPr>
          <w:p w14:paraId="10DA4187">
            <w:pPr>
              <w:keepNext w:val="0"/>
              <w:keepLines w:val="0"/>
              <w:pageBreakBefore w:val="0"/>
              <w:widowControl/>
              <w:kinsoku/>
              <w:wordWrap/>
              <w:overflowPunct/>
              <w:topLinePunct w:val="0"/>
              <w:autoSpaceDE/>
              <w:autoSpaceDN/>
              <w:bidi w:val="0"/>
              <w:adjustRightInd/>
              <w:snapToGrid/>
              <w:spacing w:line="400" w:lineRule="exact"/>
              <w:ind w:right="-320" w:rightChars="-100"/>
              <w:jc w:val="both"/>
              <w:rPr>
                <w:rFonts w:hint="default"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12</w:t>
            </w:r>
          </w:p>
        </w:tc>
        <w:tc>
          <w:tcPr>
            <w:tcW w:w="4537" w:type="dxa"/>
            <w:vAlign w:val="center"/>
          </w:tcPr>
          <w:p w14:paraId="35140814">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一般危险化学品生产企业安全生产责任</w:t>
            </w:r>
          </w:p>
          <w:p w14:paraId="2EDF3542">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落实及危险化学品注册安全工程师履职</w:t>
            </w:r>
          </w:p>
          <w:p w14:paraId="57D4EE6E">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rPr>
              <w:t>检查</w:t>
            </w:r>
          </w:p>
        </w:tc>
        <w:tc>
          <w:tcPr>
            <w:tcW w:w="1546" w:type="dxa"/>
            <w:vAlign w:val="center"/>
          </w:tcPr>
          <w:p w14:paraId="269D0EAD">
            <w:pPr>
              <w:keepNext w:val="0"/>
              <w:keepLines w:val="0"/>
              <w:pageBreakBefore w:val="0"/>
              <w:widowControl/>
              <w:kinsoku/>
              <w:wordWrap/>
              <w:overflowPunct/>
              <w:topLinePunct w:val="0"/>
              <w:autoSpaceDE/>
              <w:autoSpaceDN/>
              <w:bidi w:val="0"/>
              <w:adjustRightInd/>
              <w:snapToGrid/>
              <w:spacing w:line="400" w:lineRule="exact"/>
              <w:ind w:right="-320" w:rightChars="-100"/>
              <w:jc w:val="left"/>
              <w:rPr>
                <w:rFonts w:hint="eastAsia" w:ascii="仿宋" w:hAnsi="仿宋" w:eastAsia="仿宋" w:cs="仿宋"/>
                <w:b w:val="0"/>
                <w:bCs w:val="0"/>
                <w:color w:val="000000" w:themeColor="text1"/>
                <w:kern w:val="0"/>
                <w:sz w:val="24"/>
                <w:szCs w:val="24"/>
                <w:lang w:val="en-US" w:eastAsia="zh-CN"/>
                <w14:textFill>
                  <w14:solidFill>
                    <w14:schemeClr w14:val="tx1"/>
                  </w14:solidFill>
                </w14:textFill>
              </w:rPr>
            </w:pPr>
            <w:r>
              <w:rPr>
                <w:rFonts w:hint="eastAsia" w:ascii="仿宋" w:hAnsi="仿宋" w:eastAsia="仿宋" w:cs="仿宋"/>
                <w:b w:val="0"/>
                <w:bCs w:val="0"/>
                <w:color w:val="000000" w:themeColor="text1"/>
                <w:kern w:val="0"/>
                <w:sz w:val="24"/>
                <w:szCs w:val="24"/>
                <w:lang w:val="en-US" w:eastAsia="zh-CN"/>
                <w14:textFill>
                  <w14:solidFill>
                    <w14:schemeClr w14:val="tx1"/>
                  </w14:solidFill>
                </w14:textFill>
              </w:rPr>
              <w:t>东成镇</w:t>
            </w:r>
          </w:p>
        </w:tc>
        <w:tc>
          <w:tcPr>
            <w:tcW w:w="5865" w:type="dxa"/>
            <w:vAlign w:val="center"/>
          </w:tcPr>
          <w:p w14:paraId="3F5FE784">
            <w:pPr>
              <w:keepNext w:val="0"/>
              <w:keepLines w:val="0"/>
              <w:pageBreakBefore w:val="0"/>
              <w:widowControl/>
              <w:kinsoku/>
              <w:wordWrap/>
              <w:overflowPunct/>
              <w:topLinePunct w:val="0"/>
              <w:autoSpaceDE/>
              <w:autoSpaceDN/>
              <w:bidi w:val="0"/>
              <w:adjustRightInd/>
              <w:snapToGrid/>
              <w:spacing w:line="400" w:lineRule="exact"/>
              <w:ind w:right="-320" w:rightChars="-100"/>
              <w:jc w:val="center"/>
              <w:rPr>
                <w:rFonts w:hint="eastAsia" w:ascii="仿宋" w:hAnsi="仿宋" w:eastAsia="仿宋" w:cs="仿宋"/>
                <w:b w:val="0"/>
                <w:bCs w:val="0"/>
                <w:color w:val="000000" w:themeColor="text1"/>
                <w:kern w:val="0"/>
                <w:sz w:val="24"/>
                <w:szCs w:val="24"/>
                <w14:textFill>
                  <w14:solidFill>
                    <w14:schemeClr w14:val="tx1"/>
                  </w14:solidFill>
                </w14:textFill>
              </w:rPr>
            </w:pPr>
            <w:r>
              <w:rPr>
                <w:rFonts w:hint="eastAsia" w:ascii="仿宋" w:hAnsi="仿宋" w:eastAsia="仿宋" w:cs="仿宋"/>
                <w:b w:val="0"/>
                <w:bCs w:val="0"/>
                <w:color w:val="000000" w:themeColor="text1"/>
                <w:kern w:val="0"/>
                <w:sz w:val="24"/>
                <w:szCs w:val="24"/>
                <w14:textFill>
                  <w14:solidFill>
                    <w14:schemeClr w14:val="tx1"/>
                  </w14:solidFill>
                </w14:textFill>
              </w:rPr>
              <w:t>恩平市银丰化工有限公司</w:t>
            </w:r>
          </w:p>
        </w:tc>
        <w:tc>
          <w:tcPr>
            <w:tcW w:w="865" w:type="dxa"/>
            <w:vAlign w:val="center"/>
          </w:tcPr>
          <w:p w14:paraId="34BB2F43">
            <w:pPr>
              <w:keepNext w:val="0"/>
              <w:keepLines w:val="0"/>
              <w:pageBreakBefore w:val="0"/>
              <w:widowControl/>
              <w:kinsoku/>
              <w:wordWrap/>
              <w:overflowPunct/>
              <w:topLinePunct w:val="0"/>
              <w:autoSpaceDE/>
              <w:autoSpaceDN/>
              <w:bidi w:val="0"/>
              <w:adjustRightInd/>
              <w:snapToGrid/>
              <w:spacing w:line="400" w:lineRule="exact"/>
              <w:ind w:right="-320" w:rightChars="-100" w:firstLine="241" w:firstLineChars="100"/>
              <w:jc w:val="both"/>
              <w:rPr>
                <w:rFonts w:hint="eastAsia" w:ascii="仿宋_GB2312" w:hAnsi="仿宋_GB2312" w:eastAsia="仿宋_GB2312" w:cs="仿宋_GB2312"/>
                <w:b/>
                <w:color w:val="000000" w:themeColor="text1"/>
                <w:kern w:val="0"/>
                <w:sz w:val="24"/>
                <w:szCs w:val="24"/>
                <w:lang w:val="en-US" w:eastAsia="zh-CN"/>
                <w14:textFill>
                  <w14:solidFill>
                    <w14:schemeClr w14:val="tx1"/>
                  </w14:solidFill>
                </w14:textFill>
              </w:rPr>
            </w:pPr>
            <w:r>
              <w:rPr>
                <w:rFonts w:hint="eastAsia" w:ascii="仿宋_GB2312" w:hAnsi="仿宋_GB2312" w:cs="仿宋_GB2312"/>
                <w:b/>
                <w:color w:val="000000" w:themeColor="text1"/>
                <w:kern w:val="0"/>
                <w:sz w:val="24"/>
                <w:szCs w:val="24"/>
                <w:lang w:val="en-US" w:eastAsia="zh-CN"/>
                <w14:textFill>
                  <w14:solidFill>
                    <w14:schemeClr w14:val="tx1"/>
                  </w14:solidFill>
                </w14:textFill>
              </w:rPr>
              <w:t>2</w:t>
            </w:r>
          </w:p>
        </w:tc>
      </w:tr>
    </w:tbl>
    <w:p w14:paraId="1693D98B">
      <w:pPr>
        <w:jc w:val="left"/>
      </w:pPr>
    </w:p>
    <w:p w14:paraId="07674378">
      <w:pPr>
        <w:jc w:val="left"/>
      </w:pPr>
    </w:p>
    <w:p w14:paraId="661F590D">
      <w:pPr>
        <w:jc w:val="left"/>
      </w:pPr>
    </w:p>
    <w:p w14:paraId="3C94C5F0">
      <w:pPr>
        <w:jc w:val="left"/>
      </w:pPr>
    </w:p>
    <w:p w14:paraId="641E895B">
      <w:pPr>
        <w:jc w:val="left"/>
      </w:pPr>
    </w:p>
    <w:p w14:paraId="04899A80">
      <w:pPr>
        <w:jc w:val="left"/>
      </w:pPr>
    </w:p>
    <w:p w14:paraId="5E5F3681">
      <w:pPr>
        <w:jc w:val="left"/>
      </w:pPr>
    </w:p>
    <w:p w14:paraId="1B0D6BB5">
      <w:pPr>
        <w:jc w:val="left"/>
      </w:pPr>
    </w:p>
    <w:p w14:paraId="03F6488F">
      <w:pPr>
        <w:jc w:val="left"/>
      </w:pPr>
    </w:p>
    <w:p w14:paraId="42D7FB34">
      <w:pPr>
        <w:jc w:val="left"/>
      </w:pPr>
    </w:p>
    <w:p w14:paraId="1CF28348">
      <w:pPr>
        <w:jc w:val="left"/>
      </w:pPr>
    </w:p>
    <w:p w14:paraId="26436FA2">
      <w:pPr>
        <w:jc w:val="left"/>
      </w:pPr>
    </w:p>
    <w:p w14:paraId="6749BC15">
      <w:pPr>
        <w:jc w:val="left"/>
      </w:pPr>
      <w:r>
        <w:t>附件3</w:t>
      </w:r>
    </w:p>
    <w:p w14:paraId="5F276551">
      <w:pPr>
        <w:spacing w:line="560" w:lineRule="exact"/>
        <w:jc w:val="center"/>
        <w:rPr>
          <w:rFonts w:hint="eastAsia" w:ascii="方正小标宋简体" w:hAnsi="方正小标宋简体" w:eastAsia="方正小标宋简体" w:cs="方正小标宋简体"/>
          <w:bCs/>
          <w:color w:val="000000"/>
          <w:sz w:val="36"/>
          <w:szCs w:val="36"/>
        </w:rPr>
      </w:pPr>
      <w:r>
        <w:rPr>
          <w:rFonts w:hint="eastAsia" w:ascii="方正小标宋简体" w:hAnsi="方正小标宋简体" w:eastAsia="方正小标宋简体" w:cs="方正小标宋简体"/>
          <w:bCs/>
          <w:color w:val="000000"/>
          <w:sz w:val="36"/>
          <w:szCs w:val="36"/>
        </w:rPr>
        <w:t>恩平市应急管理局202</w:t>
      </w:r>
      <w:r>
        <w:rPr>
          <w:rFonts w:hint="eastAsia" w:ascii="方正小标宋简体" w:hAnsi="方正小标宋简体" w:eastAsia="方正小标宋简体" w:cs="方正小标宋简体"/>
          <w:bCs/>
          <w:color w:val="000000"/>
          <w:sz w:val="36"/>
          <w:szCs w:val="36"/>
          <w:lang w:val="en-US" w:eastAsia="zh-CN"/>
        </w:rPr>
        <w:t>5</w:t>
      </w:r>
      <w:r>
        <w:rPr>
          <w:rFonts w:hint="eastAsia" w:ascii="方正小标宋简体" w:hAnsi="方正小标宋简体" w:eastAsia="方正小标宋简体" w:cs="方正小标宋简体"/>
          <w:bCs/>
          <w:color w:val="000000"/>
          <w:sz w:val="36"/>
          <w:szCs w:val="36"/>
        </w:rPr>
        <w:t>年度一般监督检查安排表</w:t>
      </w:r>
    </w:p>
    <w:p w14:paraId="2D24C4EF">
      <w:pPr>
        <w:spacing w:line="560" w:lineRule="exact"/>
        <w:ind w:left="-320" w:leftChars="-100" w:right="-320" w:rightChars="-100"/>
        <w:jc w:val="center"/>
        <w:rPr>
          <w:rFonts w:ascii="宋体" w:hAnsi="宋体" w:cs="宋体"/>
          <w:b/>
          <w:bCs/>
        </w:rPr>
      </w:pPr>
    </w:p>
    <w:tbl>
      <w:tblPr>
        <w:tblStyle w:val="5"/>
        <w:tblpPr w:leftFromText="180" w:rightFromText="180" w:vertAnchor="text" w:horzAnchor="page" w:tblpX="3941" w:tblpY="618"/>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4832"/>
        <w:gridCol w:w="2841"/>
      </w:tblGrid>
      <w:tr w14:paraId="1A669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4682B03E">
            <w:pPr>
              <w:rPr>
                <w:rFonts w:ascii="楷体_GB2312" w:eastAsia="楷体_GB2312"/>
                <w:sz w:val="24"/>
                <w:szCs w:val="24"/>
              </w:rPr>
            </w:pPr>
            <w:r>
              <w:rPr>
                <w:rFonts w:hint="eastAsia" w:ascii="楷体_GB2312" w:eastAsia="楷体_GB2312"/>
                <w:sz w:val="24"/>
                <w:szCs w:val="24"/>
              </w:rPr>
              <w:t>序号</w:t>
            </w:r>
          </w:p>
        </w:tc>
        <w:tc>
          <w:tcPr>
            <w:tcW w:w="4832" w:type="dxa"/>
            <w:vAlign w:val="center"/>
          </w:tcPr>
          <w:p w14:paraId="7F016491">
            <w:pPr>
              <w:spacing w:line="560" w:lineRule="exact"/>
              <w:ind w:right="-320" w:rightChars="-100"/>
              <w:jc w:val="center"/>
              <w:rPr>
                <w:rFonts w:ascii="楷体_GB2312" w:hAnsi="楷体" w:eastAsia="楷体_GB2312" w:cs="楷体"/>
                <w:sz w:val="24"/>
                <w:szCs w:val="24"/>
              </w:rPr>
            </w:pPr>
            <w:r>
              <w:rPr>
                <w:rFonts w:hint="eastAsia" w:ascii="楷体_GB2312" w:hAnsi="楷体" w:eastAsia="楷体_GB2312" w:cs="楷体"/>
                <w:sz w:val="24"/>
                <w:szCs w:val="24"/>
              </w:rPr>
              <w:t>检查范围（随机抽取）</w:t>
            </w:r>
          </w:p>
        </w:tc>
        <w:tc>
          <w:tcPr>
            <w:tcW w:w="2841" w:type="dxa"/>
            <w:vAlign w:val="center"/>
          </w:tcPr>
          <w:p w14:paraId="5EACD057">
            <w:pPr>
              <w:spacing w:line="560" w:lineRule="exact"/>
              <w:ind w:right="-320" w:rightChars="-100"/>
              <w:jc w:val="center"/>
              <w:rPr>
                <w:rFonts w:ascii="楷体_GB2312" w:hAnsi="楷体" w:eastAsia="楷体_GB2312" w:cs="楷体"/>
                <w:sz w:val="24"/>
                <w:szCs w:val="24"/>
              </w:rPr>
            </w:pPr>
            <w:r>
              <w:rPr>
                <w:rFonts w:hint="eastAsia" w:ascii="楷体_GB2312" w:hAnsi="楷体" w:eastAsia="楷体_GB2312" w:cs="楷体"/>
                <w:sz w:val="24"/>
                <w:szCs w:val="24"/>
              </w:rPr>
              <w:t>负责股室</w:t>
            </w:r>
          </w:p>
        </w:tc>
      </w:tr>
      <w:tr w14:paraId="5FD8F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30452F1E">
            <w:pPr>
              <w:jc w:val="center"/>
              <w:rPr>
                <w:rFonts w:eastAsia="楷体_GB2312"/>
                <w:color w:val="000000" w:themeColor="text1"/>
                <w:sz w:val="24"/>
                <w:szCs w:val="24"/>
                <w14:textFill>
                  <w14:solidFill>
                    <w14:schemeClr w14:val="tx1"/>
                  </w14:solidFill>
                </w14:textFill>
              </w:rPr>
            </w:pPr>
            <w:r>
              <w:rPr>
                <w:rFonts w:hint="eastAsia" w:eastAsia="楷体_GB2312"/>
                <w:color w:val="000000" w:themeColor="text1"/>
                <w:sz w:val="24"/>
                <w:szCs w:val="24"/>
                <w14:textFill>
                  <w14:solidFill>
                    <w14:schemeClr w14:val="tx1"/>
                  </w14:solidFill>
                </w14:textFill>
              </w:rPr>
              <w:t>1</w:t>
            </w:r>
          </w:p>
        </w:tc>
        <w:tc>
          <w:tcPr>
            <w:tcW w:w="4832" w:type="dxa"/>
            <w:vAlign w:val="center"/>
          </w:tcPr>
          <w:p w14:paraId="5E5D893F">
            <w:pPr>
              <w:widowControl/>
              <w:spacing w:line="4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重大危险源企业2家。</w:t>
            </w:r>
          </w:p>
        </w:tc>
        <w:tc>
          <w:tcPr>
            <w:tcW w:w="2841" w:type="dxa"/>
            <w:vAlign w:val="center"/>
          </w:tcPr>
          <w:p w14:paraId="113610E9">
            <w:pPr>
              <w:widowControl/>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危险化学品安全监管股</w:t>
            </w:r>
          </w:p>
        </w:tc>
      </w:tr>
      <w:tr w14:paraId="48E64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2AAB7A8E">
            <w:pPr>
              <w:jc w:val="center"/>
              <w:rPr>
                <w:rFonts w:eastAsia="楷体_GB2312"/>
                <w:color w:val="000000" w:themeColor="text1"/>
                <w:sz w:val="24"/>
                <w:szCs w:val="24"/>
                <w14:textFill>
                  <w14:solidFill>
                    <w14:schemeClr w14:val="tx1"/>
                  </w14:solidFill>
                </w14:textFill>
              </w:rPr>
            </w:pPr>
            <w:r>
              <w:rPr>
                <w:rFonts w:hint="eastAsia" w:eastAsia="楷体_GB2312"/>
                <w:color w:val="000000" w:themeColor="text1"/>
                <w:sz w:val="24"/>
                <w:szCs w:val="24"/>
                <w14:textFill>
                  <w14:solidFill>
                    <w14:schemeClr w14:val="tx1"/>
                  </w14:solidFill>
                </w14:textFill>
              </w:rPr>
              <w:t>2</w:t>
            </w:r>
          </w:p>
        </w:tc>
        <w:tc>
          <w:tcPr>
            <w:tcW w:w="4832" w:type="dxa"/>
            <w:vAlign w:val="center"/>
          </w:tcPr>
          <w:p w14:paraId="0494A3BF">
            <w:pPr>
              <w:widowControl/>
              <w:spacing w:line="4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烟花爆竹批发经营企业1家。</w:t>
            </w:r>
          </w:p>
        </w:tc>
        <w:tc>
          <w:tcPr>
            <w:tcW w:w="2841" w:type="dxa"/>
            <w:vAlign w:val="center"/>
          </w:tcPr>
          <w:p w14:paraId="74DFC57B">
            <w:pPr>
              <w:widowControl/>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危险化学品安全监管股</w:t>
            </w:r>
          </w:p>
        </w:tc>
      </w:tr>
      <w:tr w14:paraId="3594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849" w:type="dxa"/>
            <w:vAlign w:val="center"/>
          </w:tcPr>
          <w:p w14:paraId="2FF04A0D">
            <w:pPr>
              <w:jc w:val="center"/>
              <w:rPr>
                <w:rFonts w:eastAsia="楷体_GB2312"/>
                <w:color w:val="000000" w:themeColor="text1"/>
                <w:sz w:val="24"/>
                <w:szCs w:val="24"/>
                <w14:textFill>
                  <w14:solidFill>
                    <w14:schemeClr w14:val="tx1"/>
                  </w14:solidFill>
                </w14:textFill>
              </w:rPr>
            </w:pPr>
            <w:r>
              <w:rPr>
                <w:rFonts w:hint="eastAsia" w:eastAsia="楷体_GB2312"/>
                <w:color w:val="000000" w:themeColor="text1"/>
                <w:sz w:val="24"/>
                <w:szCs w:val="24"/>
                <w14:textFill>
                  <w14:solidFill>
                    <w14:schemeClr w14:val="tx1"/>
                  </w14:solidFill>
                </w14:textFill>
              </w:rPr>
              <w:t>3</w:t>
            </w:r>
          </w:p>
        </w:tc>
        <w:tc>
          <w:tcPr>
            <w:tcW w:w="4832" w:type="dxa"/>
            <w:vAlign w:val="center"/>
          </w:tcPr>
          <w:p w14:paraId="53FA5687">
            <w:pPr>
              <w:widowControl/>
              <w:spacing w:line="400" w:lineRule="exact"/>
              <w:rPr>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4"/>
                <w:highlight w:val="none"/>
                <w14:textFill>
                  <w14:solidFill>
                    <w14:schemeClr w14:val="tx1"/>
                  </w14:solidFill>
                </w14:textFill>
              </w:rPr>
              <w:t>加油站2</w:t>
            </w:r>
            <w:r>
              <w:rPr>
                <w:rFonts w:hint="eastAsia" w:ascii="Times New Roman" w:hAnsi="Times New Roman" w:cs="Times New Roman"/>
                <w:color w:val="000000" w:themeColor="text1"/>
                <w:sz w:val="24"/>
                <w:highlight w:val="none"/>
                <w:lang w:val="en-US" w:eastAsia="zh-CN"/>
                <w14:textFill>
                  <w14:solidFill>
                    <w14:schemeClr w14:val="tx1"/>
                  </w14:solidFill>
                </w14:textFill>
              </w:rPr>
              <w:t>2</w:t>
            </w:r>
            <w:r>
              <w:rPr>
                <w:rFonts w:hint="eastAsia" w:ascii="Times New Roman" w:hAnsi="Times New Roman" w:cs="Times New Roman"/>
                <w:color w:val="000000" w:themeColor="text1"/>
                <w:sz w:val="24"/>
                <w:highlight w:val="none"/>
                <w14:textFill>
                  <w14:solidFill>
                    <w14:schemeClr w14:val="tx1"/>
                  </w14:solidFill>
                </w14:textFill>
              </w:rPr>
              <w:t>家。</w:t>
            </w:r>
          </w:p>
        </w:tc>
        <w:tc>
          <w:tcPr>
            <w:tcW w:w="2841" w:type="dxa"/>
            <w:vAlign w:val="center"/>
          </w:tcPr>
          <w:p w14:paraId="4968FD8D">
            <w:pPr>
              <w:widowControl/>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危险化学品安全监管股</w:t>
            </w:r>
          </w:p>
        </w:tc>
      </w:tr>
      <w:tr w14:paraId="58F76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69AE9D1A">
            <w:pPr>
              <w:jc w:val="center"/>
              <w:rPr>
                <w:rFonts w:eastAsia="楷体_GB2312"/>
                <w:color w:val="000000" w:themeColor="text1"/>
                <w:sz w:val="24"/>
                <w:szCs w:val="24"/>
                <w14:textFill>
                  <w14:solidFill>
                    <w14:schemeClr w14:val="tx1"/>
                  </w14:solidFill>
                </w14:textFill>
              </w:rPr>
            </w:pPr>
            <w:r>
              <w:rPr>
                <w:rFonts w:hint="eastAsia" w:eastAsia="楷体_GB2312"/>
                <w:color w:val="000000" w:themeColor="text1"/>
                <w:sz w:val="24"/>
                <w:szCs w:val="24"/>
                <w14:textFill>
                  <w14:solidFill>
                    <w14:schemeClr w14:val="tx1"/>
                  </w14:solidFill>
                </w14:textFill>
              </w:rPr>
              <w:t>4</w:t>
            </w:r>
          </w:p>
        </w:tc>
        <w:tc>
          <w:tcPr>
            <w:tcW w:w="4832" w:type="dxa"/>
            <w:vAlign w:val="center"/>
          </w:tcPr>
          <w:p w14:paraId="3B0DFC71">
            <w:pPr>
              <w:widowControl/>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危险化学品纯贸易经营许可企业</w:t>
            </w:r>
            <w:r>
              <w:rPr>
                <w:rFonts w:hint="eastAsia"/>
                <w:color w:val="000000" w:themeColor="text1"/>
                <w:sz w:val="24"/>
                <w:highlight w:val="none"/>
                <w14:textFill>
                  <w14:solidFill>
                    <w14:schemeClr w14:val="tx1"/>
                  </w14:solidFill>
                </w14:textFill>
              </w:rPr>
              <w:t>4家。</w:t>
            </w:r>
          </w:p>
        </w:tc>
        <w:tc>
          <w:tcPr>
            <w:tcW w:w="2841" w:type="dxa"/>
            <w:vAlign w:val="center"/>
          </w:tcPr>
          <w:p w14:paraId="792F04C1">
            <w:pPr>
              <w:widowControl/>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危险化学品安全监管股</w:t>
            </w:r>
          </w:p>
        </w:tc>
      </w:tr>
      <w:tr w14:paraId="73BE9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4D0F2627">
            <w:pPr>
              <w:jc w:val="center"/>
              <w:rPr>
                <w:rFonts w:eastAsia="楷体_GB2312"/>
                <w:color w:val="000000" w:themeColor="text1"/>
                <w:sz w:val="24"/>
                <w:szCs w:val="24"/>
                <w14:textFill>
                  <w14:solidFill>
                    <w14:schemeClr w14:val="tx1"/>
                  </w14:solidFill>
                </w14:textFill>
              </w:rPr>
            </w:pPr>
            <w:r>
              <w:rPr>
                <w:rFonts w:hint="eastAsia" w:eastAsia="楷体_GB2312"/>
                <w:color w:val="000000" w:themeColor="text1"/>
                <w:sz w:val="24"/>
                <w:szCs w:val="24"/>
                <w14:textFill>
                  <w14:solidFill>
                    <w14:schemeClr w14:val="tx1"/>
                  </w14:solidFill>
                </w14:textFill>
              </w:rPr>
              <w:t>5</w:t>
            </w:r>
          </w:p>
        </w:tc>
        <w:tc>
          <w:tcPr>
            <w:tcW w:w="4832" w:type="dxa"/>
            <w:vAlign w:val="center"/>
          </w:tcPr>
          <w:p w14:paraId="0B5F7EB4">
            <w:pPr>
              <w:widowControl/>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烟花爆竹零售单位</w:t>
            </w:r>
            <w:r>
              <w:rPr>
                <w:rFonts w:hint="eastAsia"/>
                <w:color w:val="000000" w:themeColor="text1"/>
                <w:sz w:val="24"/>
                <w:highlight w:val="none"/>
                <w:lang w:val="en-US" w:eastAsia="zh-CN"/>
                <w14:textFill>
                  <w14:solidFill>
                    <w14:schemeClr w14:val="tx1"/>
                  </w14:solidFill>
                </w14:textFill>
              </w:rPr>
              <w:t>37</w:t>
            </w:r>
            <w:r>
              <w:rPr>
                <w:color w:val="000000" w:themeColor="text1"/>
                <w:sz w:val="24"/>
                <w:highlight w:val="none"/>
                <w14:textFill>
                  <w14:solidFill>
                    <w14:schemeClr w14:val="tx1"/>
                  </w14:solidFill>
                </w14:textFill>
              </w:rPr>
              <w:t>家。</w:t>
            </w:r>
          </w:p>
        </w:tc>
        <w:tc>
          <w:tcPr>
            <w:tcW w:w="2841" w:type="dxa"/>
            <w:vAlign w:val="center"/>
          </w:tcPr>
          <w:p w14:paraId="59767B70">
            <w:pPr>
              <w:widowControl/>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危险化学品安全监管股</w:t>
            </w:r>
          </w:p>
        </w:tc>
      </w:tr>
      <w:tr w14:paraId="7866E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32ADD4B6">
            <w:pPr>
              <w:jc w:val="center"/>
              <w:rPr>
                <w:rFonts w:hint="eastAsia" w:eastAsia="楷体_GB2312"/>
                <w:sz w:val="24"/>
                <w:szCs w:val="24"/>
                <w:lang w:eastAsia="zh-CN"/>
              </w:rPr>
            </w:pPr>
            <w:r>
              <w:rPr>
                <w:rFonts w:hint="eastAsia" w:eastAsia="楷体_GB2312"/>
                <w:sz w:val="24"/>
                <w:szCs w:val="24"/>
                <w:lang w:val="en-US" w:eastAsia="zh-CN"/>
              </w:rPr>
              <w:t>6</w:t>
            </w:r>
          </w:p>
        </w:tc>
        <w:tc>
          <w:tcPr>
            <w:tcW w:w="4832" w:type="dxa"/>
            <w:vAlign w:val="center"/>
          </w:tcPr>
          <w:p w14:paraId="09ABAE5B">
            <w:pPr>
              <w:widowControl/>
              <w:spacing w:line="400" w:lineRule="exact"/>
              <w:rPr>
                <w:color w:val="000000"/>
                <w:sz w:val="24"/>
              </w:rPr>
            </w:pPr>
            <w:r>
              <w:rPr>
                <w:rFonts w:hint="eastAsia"/>
                <w:color w:val="000000"/>
                <w:sz w:val="24"/>
              </w:rPr>
              <w:t>危险化学品使用和</w:t>
            </w:r>
            <w:r>
              <w:rPr>
                <w:color w:val="000000"/>
                <w:sz w:val="24"/>
              </w:rPr>
              <w:t>非药品类易制毒化学品使用工贸企业及其他机械行业、纺织行业、轻工行业企业、</w:t>
            </w:r>
            <w:r>
              <w:rPr>
                <w:rFonts w:hint="eastAsia"/>
                <w:color w:val="000000"/>
                <w:sz w:val="24"/>
              </w:rPr>
              <w:t>安全评价检测检验机构20家。</w:t>
            </w:r>
          </w:p>
        </w:tc>
        <w:tc>
          <w:tcPr>
            <w:tcW w:w="2841" w:type="dxa"/>
            <w:vAlign w:val="center"/>
          </w:tcPr>
          <w:p w14:paraId="4AB754CC">
            <w:pPr>
              <w:widowControl/>
              <w:jc w:val="center"/>
              <w:rPr>
                <w:color w:val="000000"/>
                <w:sz w:val="24"/>
              </w:rPr>
            </w:pPr>
            <w:r>
              <w:rPr>
                <w:color w:val="000000"/>
                <w:sz w:val="24"/>
              </w:rPr>
              <w:t>安全生产基础股</w:t>
            </w:r>
          </w:p>
        </w:tc>
      </w:tr>
    </w:tbl>
    <w:p w14:paraId="18AB75C5">
      <w:pPr>
        <w:sectPr>
          <w:footerReference r:id="rId4" w:type="default"/>
          <w:pgSz w:w="16838" w:h="11906" w:orient="landscape"/>
          <w:pgMar w:top="1803" w:right="1440" w:bottom="1803" w:left="1440" w:header="851" w:footer="992" w:gutter="0"/>
          <w:cols w:space="0" w:num="1"/>
          <w:rtlGutter w:val="0"/>
          <w:docGrid w:type="lines" w:linePitch="436" w:charSpace="0"/>
        </w:sectPr>
      </w:pPr>
    </w:p>
    <w:p w14:paraId="081F3306">
      <w:pPr>
        <w:spacing w:line="520" w:lineRule="exact"/>
        <w:rPr>
          <w:shd w:val="clear" w:color="auto" w:fill="FFFFFF"/>
        </w:rPr>
      </w:pPr>
    </w:p>
    <w:sectPr>
      <w:footerReference r:id="rId5" w:type="default"/>
      <w:footerReference r:id="rId6" w:type="even"/>
      <w:pgSz w:w="11906" w:h="16838"/>
      <w:pgMar w:top="1928" w:right="1418" w:bottom="1814" w:left="1588" w:header="1361" w:footer="1616" w:gutter="0"/>
      <w:cols w:space="425" w:num="1"/>
      <w:docGrid w:type="linesAndChars" w:linePitch="592"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98AC6">
    <w:pPr>
      <w:pStyle w:val="3"/>
      <w:ind w:firstLine="180" w:firstLineChars="100"/>
      <w:rPr>
        <w:sz w:val="32"/>
        <w:szCs w:val="32"/>
      </w:rPr>
    </w:pPr>
    <w:r>
      <w:rPr>
        <w:rFonts w:cs="宋体" w:eastAsiaTheme="minorEastAsi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85725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EAE86F3">
                          <w:pPr>
                            <w:tabs>
                              <w:tab w:val="center" w:pos="4153"/>
                              <w:tab w:val="right" w:pos="8306"/>
                            </w:tabs>
                            <w:snapToGrid w:val="0"/>
                            <w:jc w:val="left"/>
                            <w:rPr>
                              <w:rFonts w:cs="宋体"/>
                              <w:sz w:val="36"/>
                              <w:szCs w:val="36"/>
                            </w:rPr>
                          </w:pPr>
                          <w:r>
                            <w:rPr>
                              <w:rFonts w:hint="eastAsia" w:ascii="仿宋" w:hAnsi="仿宋" w:eastAsia="仿宋" w:cs="仿宋"/>
                            </w:rPr>
                            <w:t xml:space="preserve">— </w:t>
                          </w:r>
                          <w:r>
                            <w:rPr>
                              <w:rFonts w:eastAsia="仿宋"/>
                            </w:rPr>
                            <w:fldChar w:fldCharType="begin"/>
                          </w:r>
                          <w:r>
                            <w:rPr>
                              <w:rFonts w:eastAsia="仿宋"/>
                            </w:rPr>
                            <w:instrText xml:space="preserve"> PAGE  \* MERGEFORMAT </w:instrText>
                          </w:r>
                          <w:r>
                            <w:rPr>
                              <w:rFonts w:eastAsia="仿宋"/>
                            </w:rPr>
                            <w:fldChar w:fldCharType="separate"/>
                          </w:r>
                          <w:r>
                            <w:rPr>
                              <w:rFonts w:eastAsia="仿宋"/>
                            </w:rPr>
                            <w:t>1</w:t>
                          </w:r>
                          <w:r>
                            <w:rPr>
                              <w:rFonts w:eastAsia="仿宋"/>
                            </w:rPr>
                            <w:fldChar w:fldCharType="end"/>
                          </w:r>
                          <w:r>
                            <w:rPr>
                              <w:rFonts w:hint="eastAsia" w:ascii="仿宋" w:hAnsi="仿宋" w:eastAsia="仿宋" w:cs="仿宋"/>
                            </w:rPr>
                            <w:t xml:space="preserve"> —</w:t>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6.75pt;height:144pt;width:144pt;mso-position-horizontal:outside;mso-position-horizontal-relative:margin;mso-wrap-style:none;z-index:251660288;mso-width-relative:page;mso-height-relative:page;" filled="f" stroked="f" coordsize="21600,21600" o:gfxdata="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85k3K0wAAAAcBAAAPAAAA&#10;AAAAAAEAIAAAACIAAABkcnMvZG93bnJldi54bWxQSwECFAAUAAAACACHTuJAF9Nx6eEBAADMAwAA&#10;DgAAAAAAAAABACAAAAAiAQAAZHJzL2Uyb0RvYy54bWxQSwUGAAAAAAYABgBZAQAAdQUAAAAA&#10;">
              <v:fill on="f" focussize="0,0"/>
              <v:stroke on="f"/>
              <v:imagedata o:title=""/>
              <o:lock v:ext="edit" aspectratio="f"/>
              <v:textbox inset="0mm,0mm,0mm,0mm" style="mso-fit-shape-to-text:t;">
                <w:txbxContent>
                  <w:p w14:paraId="6EAE86F3">
                    <w:pPr>
                      <w:tabs>
                        <w:tab w:val="center" w:pos="4153"/>
                        <w:tab w:val="right" w:pos="8306"/>
                      </w:tabs>
                      <w:snapToGrid w:val="0"/>
                      <w:jc w:val="left"/>
                      <w:rPr>
                        <w:rFonts w:cs="宋体"/>
                        <w:sz w:val="36"/>
                        <w:szCs w:val="36"/>
                      </w:rPr>
                    </w:pPr>
                    <w:r>
                      <w:rPr>
                        <w:rFonts w:hint="eastAsia" w:ascii="仿宋" w:hAnsi="仿宋" w:eastAsia="仿宋" w:cs="仿宋"/>
                      </w:rPr>
                      <w:t xml:space="preserve">— </w:t>
                    </w:r>
                    <w:r>
                      <w:rPr>
                        <w:rFonts w:eastAsia="仿宋"/>
                      </w:rPr>
                      <w:fldChar w:fldCharType="begin"/>
                    </w:r>
                    <w:r>
                      <w:rPr>
                        <w:rFonts w:eastAsia="仿宋"/>
                      </w:rPr>
                      <w:instrText xml:space="preserve"> PAGE  \* MERGEFORMAT </w:instrText>
                    </w:r>
                    <w:r>
                      <w:rPr>
                        <w:rFonts w:eastAsia="仿宋"/>
                      </w:rPr>
                      <w:fldChar w:fldCharType="separate"/>
                    </w:r>
                    <w:r>
                      <w:rPr>
                        <w:rFonts w:eastAsia="仿宋"/>
                      </w:rPr>
                      <w:t>1</w:t>
                    </w:r>
                    <w:r>
                      <w:rPr>
                        <w:rFonts w:eastAsia="仿宋"/>
                      </w:rPr>
                      <w:fldChar w:fldCharType="end"/>
                    </w:r>
                    <w:r>
                      <w:rPr>
                        <w:rFonts w:hint="eastAsia" w:ascii="仿宋" w:hAnsi="仿宋" w:eastAsia="仿宋" w:cs="仿宋"/>
                      </w:rPr>
                      <w:t xml:space="preserve"> —</w:t>
                    </w:r>
                  </w:p>
                </w:txbxContent>
              </v:textbox>
            </v:shape>
          </w:pict>
        </mc:Fallback>
      </mc:AlternateContent>
    </w:r>
  </w:p>
  <w:p w14:paraId="56D558DC">
    <w:pPr>
      <w:tabs>
        <w:tab w:val="right" w:pos="9072"/>
      </w:tabs>
      <w:snapToGrid w:val="0"/>
      <w:jc w:val="left"/>
      <w:rPr>
        <w:rFonts w:cs="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8D22A">
    <w:pPr>
      <w:pStyle w:val="3"/>
      <w:ind w:firstLine="180" w:firstLineChars="100"/>
      <w:rPr>
        <w:sz w:val="32"/>
        <w:szCs w:val="32"/>
      </w:rPr>
    </w:pPr>
    <w:r>
      <w:rPr>
        <w:rFonts w:cs="宋体" w:eastAsiaTheme="minorEastAsi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85725</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B971787">
                          <w:pPr>
                            <w:tabs>
                              <w:tab w:val="center" w:pos="4153"/>
                              <w:tab w:val="right" w:pos="8306"/>
                            </w:tabs>
                            <w:snapToGrid w:val="0"/>
                            <w:jc w:val="left"/>
                            <w:rPr>
                              <w:rFonts w:cs="宋体"/>
                              <w:sz w:val="36"/>
                              <w:szCs w:val="36"/>
                            </w:rPr>
                          </w:pPr>
                          <w:r>
                            <w:rPr>
                              <w:rFonts w:hint="eastAsia" w:ascii="仿宋" w:hAnsi="仿宋" w:eastAsia="仿宋" w:cs="仿宋"/>
                            </w:rPr>
                            <w:t xml:space="preserve">— </w:t>
                          </w:r>
                          <w:r>
                            <w:rPr>
                              <w:rFonts w:eastAsia="仿宋"/>
                            </w:rPr>
                            <w:fldChar w:fldCharType="begin"/>
                          </w:r>
                          <w:r>
                            <w:rPr>
                              <w:rFonts w:eastAsia="仿宋"/>
                            </w:rPr>
                            <w:instrText xml:space="preserve"> PAGE  \* MERGEFORMAT </w:instrText>
                          </w:r>
                          <w:r>
                            <w:rPr>
                              <w:rFonts w:eastAsia="仿宋"/>
                            </w:rPr>
                            <w:fldChar w:fldCharType="separate"/>
                          </w:r>
                          <w:r>
                            <w:rPr>
                              <w:rFonts w:eastAsia="仿宋"/>
                            </w:rPr>
                            <w:t>1</w:t>
                          </w:r>
                          <w:r>
                            <w:rPr>
                              <w:rFonts w:eastAsia="仿宋"/>
                            </w:rPr>
                            <w:fldChar w:fldCharType="end"/>
                          </w:r>
                          <w:r>
                            <w:rPr>
                              <w:rFonts w:hint="eastAsia" w:ascii="仿宋" w:hAnsi="仿宋" w:eastAsia="仿宋" w:cs="仿宋"/>
                            </w:rPr>
                            <w:t xml:space="preserve"> —</w:t>
                          </w:r>
                        </w:p>
                      </w:txbxContent>
                    </wps:txbx>
                    <wps:bodyPr vert="horz" wrap="none" lIns="0" tIns="0" rIns="0" bIns="0" anchor="t" anchorCtr="0" upright="1">
                      <a:spAutoFit/>
                    </wps:bodyPr>
                  </wps:wsp>
                </a:graphicData>
              </a:graphic>
            </wp:anchor>
          </w:drawing>
        </mc:Choice>
        <mc:Fallback>
          <w:pict>
            <v:shape id="文本框 2" o:spid="_x0000_s1026" o:spt="202" type="#_x0000_t202" style="position:absolute;left:0pt;margin-top:6.75pt;height:144pt;width:144pt;mso-position-horizontal:outside;mso-position-horizontal-relative:margin;mso-wrap-style:none;z-index:251659264;mso-width-relative:page;mso-height-relative:page;" filled="f" stroked="f" coordsize="21600,21600" o:gfxdata="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OZNytMAAAAHAQAADwAA&#10;AAAAAAABACAAAAAiAAAAZHJzL2Rvd25yZXYueG1sUEsBAhQAFAAAAAgAh07iQNh64OriAQAAzAMA&#10;AA4AAAAAAAAAAQAgAAAAIgEAAGRycy9lMm9Eb2MueG1sUEsFBgAAAAAGAAYAWQEAAHYFAAAAAA==&#10;">
              <v:fill on="f" focussize="0,0"/>
              <v:stroke on="f"/>
              <v:imagedata o:title=""/>
              <o:lock v:ext="edit" aspectratio="f"/>
              <v:textbox inset="0mm,0mm,0mm,0mm" style="mso-fit-shape-to-text:t;">
                <w:txbxContent>
                  <w:p w14:paraId="4B971787">
                    <w:pPr>
                      <w:tabs>
                        <w:tab w:val="center" w:pos="4153"/>
                        <w:tab w:val="right" w:pos="8306"/>
                      </w:tabs>
                      <w:snapToGrid w:val="0"/>
                      <w:jc w:val="left"/>
                      <w:rPr>
                        <w:rFonts w:cs="宋体"/>
                        <w:sz w:val="36"/>
                        <w:szCs w:val="36"/>
                      </w:rPr>
                    </w:pPr>
                    <w:r>
                      <w:rPr>
                        <w:rFonts w:hint="eastAsia" w:ascii="仿宋" w:hAnsi="仿宋" w:eastAsia="仿宋" w:cs="仿宋"/>
                      </w:rPr>
                      <w:t xml:space="preserve">— </w:t>
                    </w:r>
                    <w:r>
                      <w:rPr>
                        <w:rFonts w:eastAsia="仿宋"/>
                      </w:rPr>
                      <w:fldChar w:fldCharType="begin"/>
                    </w:r>
                    <w:r>
                      <w:rPr>
                        <w:rFonts w:eastAsia="仿宋"/>
                      </w:rPr>
                      <w:instrText xml:space="preserve"> PAGE  \* MERGEFORMAT </w:instrText>
                    </w:r>
                    <w:r>
                      <w:rPr>
                        <w:rFonts w:eastAsia="仿宋"/>
                      </w:rPr>
                      <w:fldChar w:fldCharType="separate"/>
                    </w:r>
                    <w:r>
                      <w:rPr>
                        <w:rFonts w:eastAsia="仿宋"/>
                      </w:rPr>
                      <w:t>1</w:t>
                    </w:r>
                    <w:r>
                      <w:rPr>
                        <w:rFonts w:eastAsia="仿宋"/>
                      </w:rPr>
                      <w:fldChar w:fldCharType="end"/>
                    </w:r>
                    <w:r>
                      <w:rPr>
                        <w:rFonts w:hint="eastAsia" w:ascii="仿宋" w:hAnsi="仿宋" w:eastAsia="仿宋" w:cs="仿宋"/>
                      </w:rPr>
                      <w:t xml:space="preserve"> —</w:t>
                    </w:r>
                  </w:p>
                </w:txbxContent>
              </v:textbox>
            </v:shape>
          </w:pict>
        </mc:Fallback>
      </mc:AlternateContent>
    </w:r>
  </w:p>
  <w:p w14:paraId="7F5AC99F">
    <w:pPr>
      <w:tabs>
        <w:tab w:val="right" w:pos="9072"/>
      </w:tabs>
      <w:snapToGrid w:val="0"/>
      <w:jc w:val="left"/>
      <w:rPr>
        <w:rFonts w:cs="宋体"/>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DF6A9">
    <w:pPr>
      <w:pStyle w:val="3"/>
      <w:framePr w:wrap="around" w:vAnchor="text" w:hAnchor="margin" w:xAlign="outside" w:y="1"/>
      <w:spacing w:before="360"/>
      <w:rPr>
        <w:rStyle w:val="8"/>
        <w:b/>
        <w:color w:val="FFFFFF"/>
        <w:sz w:val="28"/>
        <w:szCs w:val="28"/>
      </w:rPr>
    </w:pPr>
    <w:r>
      <w:rPr>
        <w:rStyle w:val="8"/>
        <w:rFonts w:hint="eastAsia"/>
        <w:b/>
        <w:color w:val="FFFFFF"/>
        <w:sz w:val="28"/>
        <w:szCs w:val="28"/>
      </w:rPr>
      <w:t>——</w:t>
    </w:r>
  </w:p>
  <w:p w14:paraId="71B226A9">
    <w:pPr>
      <w:pStyle w:val="3"/>
      <w:spacing w:before="36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CF528">
    <w:pPr>
      <w:pStyle w:val="3"/>
      <w:framePr w:wrap="around" w:vAnchor="text" w:hAnchor="margin" w:xAlign="outside" w:y="1"/>
      <w:spacing w:before="360"/>
      <w:rPr>
        <w:rStyle w:val="8"/>
      </w:rPr>
    </w:pPr>
    <w:r>
      <w:rPr>
        <w:rStyle w:val="8"/>
      </w:rPr>
      <w:fldChar w:fldCharType="begin"/>
    </w:r>
    <w:r>
      <w:rPr>
        <w:rStyle w:val="8"/>
      </w:rPr>
      <w:instrText xml:space="preserve">PAGE  </w:instrText>
    </w:r>
    <w:r>
      <w:rPr>
        <w:rStyle w:val="8"/>
      </w:rPr>
      <w:fldChar w:fldCharType="end"/>
    </w:r>
  </w:p>
  <w:p w14:paraId="30C297B7">
    <w:pPr>
      <w:pStyle w:val="3"/>
      <w:spacing w:before="360"/>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52979E"/>
    <w:multiLevelType w:val="singleLevel"/>
    <w:tmpl w:val="6552979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59"/>
  <w:drawingGridVerticalSpacing w:val="29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xNGMyZTYzMzNlNjdhY2JmODE0Nzc2ZTk4NGY4MDUifQ=="/>
  </w:docVars>
  <w:rsids>
    <w:rsidRoot w:val="00A33781"/>
    <w:rsid w:val="00023E47"/>
    <w:rsid w:val="000727E9"/>
    <w:rsid w:val="000C43FB"/>
    <w:rsid w:val="000C70FB"/>
    <w:rsid w:val="000E01CE"/>
    <w:rsid w:val="000E0773"/>
    <w:rsid w:val="000E6488"/>
    <w:rsid w:val="00117640"/>
    <w:rsid w:val="001400ED"/>
    <w:rsid w:val="00145BD4"/>
    <w:rsid w:val="00170FB6"/>
    <w:rsid w:val="0017200A"/>
    <w:rsid w:val="00176A53"/>
    <w:rsid w:val="001912BC"/>
    <w:rsid w:val="001A1AB0"/>
    <w:rsid w:val="001C5F4D"/>
    <w:rsid w:val="001D5415"/>
    <w:rsid w:val="001D60A3"/>
    <w:rsid w:val="00213DB7"/>
    <w:rsid w:val="00220A25"/>
    <w:rsid w:val="00220FAE"/>
    <w:rsid w:val="00254359"/>
    <w:rsid w:val="00267224"/>
    <w:rsid w:val="002B31E4"/>
    <w:rsid w:val="002C7F66"/>
    <w:rsid w:val="002F0F52"/>
    <w:rsid w:val="0033661E"/>
    <w:rsid w:val="00362F65"/>
    <w:rsid w:val="003B2C70"/>
    <w:rsid w:val="003C1E1C"/>
    <w:rsid w:val="003C3D60"/>
    <w:rsid w:val="003C6A28"/>
    <w:rsid w:val="003D37C9"/>
    <w:rsid w:val="003E7349"/>
    <w:rsid w:val="003F0BCF"/>
    <w:rsid w:val="003F543E"/>
    <w:rsid w:val="003F64AF"/>
    <w:rsid w:val="00421C73"/>
    <w:rsid w:val="0042462F"/>
    <w:rsid w:val="00426C93"/>
    <w:rsid w:val="004764A8"/>
    <w:rsid w:val="00480AB6"/>
    <w:rsid w:val="00485068"/>
    <w:rsid w:val="004D1B23"/>
    <w:rsid w:val="004E599D"/>
    <w:rsid w:val="004F68A2"/>
    <w:rsid w:val="00542348"/>
    <w:rsid w:val="00582523"/>
    <w:rsid w:val="005B7C7B"/>
    <w:rsid w:val="005C364A"/>
    <w:rsid w:val="005C61B0"/>
    <w:rsid w:val="005D4F66"/>
    <w:rsid w:val="005E46FD"/>
    <w:rsid w:val="006000FC"/>
    <w:rsid w:val="00600E52"/>
    <w:rsid w:val="006075E7"/>
    <w:rsid w:val="00610D76"/>
    <w:rsid w:val="006127A5"/>
    <w:rsid w:val="00626401"/>
    <w:rsid w:val="00641B32"/>
    <w:rsid w:val="00660DEC"/>
    <w:rsid w:val="0068524B"/>
    <w:rsid w:val="00695772"/>
    <w:rsid w:val="006B3D9F"/>
    <w:rsid w:val="006E17E2"/>
    <w:rsid w:val="006E6E85"/>
    <w:rsid w:val="006E772D"/>
    <w:rsid w:val="006F5697"/>
    <w:rsid w:val="007000FF"/>
    <w:rsid w:val="00777A9A"/>
    <w:rsid w:val="00785C13"/>
    <w:rsid w:val="007A31FC"/>
    <w:rsid w:val="007B3439"/>
    <w:rsid w:val="007C19A7"/>
    <w:rsid w:val="007C44C3"/>
    <w:rsid w:val="007E2412"/>
    <w:rsid w:val="00800E98"/>
    <w:rsid w:val="008017ED"/>
    <w:rsid w:val="0081776C"/>
    <w:rsid w:val="00821B3F"/>
    <w:rsid w:val="00831ABE"/>
    <w:rsid w:val="008445E1"/>
    <w:rsid w:val="00854E22"/>
    <w:rsid w:val="008D0B86"/>
    <w:rsid w:val="008D79DA"/>
    <w:rsid w:val="008F6799"/>
    <w:rsid w:val="00906C3A"/>
    <w:rsid w:val="00913376"/>
    <w:rsid w:val="0095034A"/>
    <w:rsid w:val="00953C7A"/>
    <w:rsid w:val="00981B1E"/>
    <w:rsid w:val="009910DC"/>
    <w:rsid w:val="00992AEE"/>
    <w:rsid w:val="009972CD"/>
    <w:rsid w:val="00997B4A"/>
    <w:rsid w:val="009A625D"/>
    <w:rsid w:val="009D0951"/>
    <w:rsid w:val="009F0CF8"/>
    <w:rsid w:val="00A237C2"/>
    <w:rsid w:val="00A33781"/>
    <w:rsid w:val="00A35877"/>
    <w:rsid w:val="00AB559E"/>
    <w:rsid w:val="00AC0230"/>
    <w:rsid w:val="00B0315A"/>
    <w:rsid w:val="00B1276A"/>
    <w:rsid w:val="00B12992"/>
    <w:rsid w:val="00B359F0"/>
    <w:rsid w:val="00B735F6"/>
    <w:rsid w:val="00B76870"/>
    <w:rsid w:val="00B932D0"/>
    <w:rsid w:val="00B97CB4"/>
    <w:rsid w:val="00BB4404"/>
    <w:rsid w:val="00BC4064"/>
    <w:rsid w:val="00BE6E77"/>
    <w:rsid w:val="00BE71E7"/>
    <w:rsid w:val="00BF13C0"/>
    <w:rsid w:val="00C00B09"/>
    <w:rsid w:val="00C11777"/>
    <w:rsid w:val="00C31D77"/>
    <w:rsid w:val="00C31E5F"/>
    <w:rsid w:val="00C449D5"/>
    <w:rsid w:val="00C904ED"/>
    <w:rsid w:val="00C9093B"/>
    <w:rsid w:val="00CA0488"/>
    <w:rsid w:val="00CA0871"/>
    <w:rsid w:val="00CB2EDD"/>
    <w:rsid w:val="00CE063E"/>
    <w:rsid w:val="00CE2039"/>
    <w:rsid w:val="00CF740A"/>
    <w:rsid w:val="00D10718"/>
    <w:rsid w:val="00D149C0"/>
    <w:rsid w:val="00D2307C"/>
    <w:rsid w:val="00D34B4D"/>
    <w:rsid w:val="00D4517F"/>
    <w:rsid w:val="00D46FAB"/>
    <w:rsid w:val="00D8084E"/>
    <w:rsid w:val="00DA7FC7"/>
    <w:rsid w:val="00DC1DBC"/>
    <w:rsid w:val="00DD63EF"/>
    <w:rsid w:val="00DE3E7A"/>
    <w:rsid w:val="00E32516"/>
    <w:rsid w:val="00E770D9"/>
    <w:rsid w:val="00EC73DC"/>
    <w:rsid w:val="00EE5A38"/>
    <w:rsid w:val="00F20146"/>
    <w:rsid w:val="00F325D6"/>
    <w:rsid w:val="00F64E75"/>
    <w:rsid w:val="00F7597A"/>
    <w:rsid w:val="00F807A5"/>
    <w:rsid w:val="00F81548"/>
    <w:rsid w:val="00FC218F"/>
    <w:rsid w:val="00FE4C90"/>
    <w:rsid w:val="063C55DD"/>
    <w:rsid w:val="0B930290"/>
    <w:rsid w:val="0C72033D"/>
    <w:rsid w:val="0D8D0B34"/>
    <w:rsid w:val="12C160E2"/>
    <w:rsid w:val="17CC2431"/>
    <w:rsid w:val="1A070F52"/>
    <w:rsid w:val="1A8C03D6"/>
    <w:rsid w:val="1D3363A4"/>
    <w:rsid w:val="20CC19F2"/>
    <w:rsid w:val="27AC3079"/>
    <w:rsid w:val="333F3C9E"/>
    <w:rsid w:val="39944698"/>
    <w:rsid w:val="40300271"/>
    <w:rsid w:val="45E85858"/>
    <w:rsid w:val="47427C3E"/>
    <w:rsid w:val="47B0222B"/>
    <w:rsid w:val="499E70C4"/>
    <w:rsid w:val="51A05528"/>
    <w:rsid w:val="544B514D"/>
    <w:rsid w:val="59C737F2"/>
    <w:rsid w:val="5D4E06D0"/>
    <w:rsid w:val="6531255A"/>
    <w:rsid w:val="66831655"/>
    <w:rsid w:val="6D52740E"/>
    <w:rsid w:val="7B493E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qFormat/>
    <w:uiPriority w:val="0"/>
    <w:pPr>
      <w:ind w:left="100" w:leftChars="2500"/>
    </w:p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99"/>
  </w:style>
  <w:style w:type="character" w:customStyle="1" w:styleId="9">
    <w:name w:val="页脚 Char"/>
    <w:basedOn w:val="7"/>
    <w:link w:val="3"/>
    <w:qFormat/>
    <w:uiPriority w:val="99"/>
    <w:rPr>
      <w:rFonts w:eastAsia="仿宋_GB2312"/>
      <w:kern w:val="2"/>
      <w:sz w:val="18"/>
      <w:szCs w:val="18"/>
    </w:rPr>
  </w:style>
  <w:style w:type="character" w:customStyle="1" w:styleId="10">
    <w:name w:val="日期 Char"/>
    <w:basedOn w:val="7"/>
    <w:link w:val="2"/>
    <w:qFormat/>
    <w:uiPriority w:val="0"/>
    <w:rPr>
      <w:rFonts w:eastAsia="仿宋_GB2312"/>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EA7F77-C750-485E-ACA7-1CE1EC76E2C5}">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19</Pages>
  <Words>7015</Words>
  <Characters>7298</Characters>
  <Lines>62</Lines>
  <Paragraphs>17</Paragraphs>
  <TotalTime>4125</TotalTime>
  <ScaleCrop>false</ScaleCrop>
  <LinksUpToDate>false</LinksUpToDate>
  <CharactersWithSpaces>7314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2022-03-16T11:49:00Z</dcterms:created>
  <dc:creator>陈观侨</dc:creator>
  <cp:lastModifiedBy>李山羊 </cp:lastModifiedBy>
  <cp:lastPrinted>2025-04-09T07:21:00Z</cp:lastPrinted>
  <dcterms:modified xsi:type="dcterms:W3CDTF">2025-05-13T07:11:30Z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C858465346A8445FACC28C246CA2888D_13</vt:lpwstr>
  </property>
  <property fmtid="{D5CDD505-2E9C-101B-9397-08002B2CF9AE}" pid="4" name="KSOTemplateDocerSaveRecord">
    <vt:lpwstr>eyJoZGlkIjoiZTA1OTFkNDk4OGJkMDQxYTA3Nzc5MDg0MTE2YmNlMGQiLCJ1c2VySWQiOiIyNzU4NTYxNzYifQ==</vt:lpwstr>
  </property>
</Properties>
</file>